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a0312d9a8f9454faafbf7eca2cf22f0"/>
        <w:lock w:val="sdtLocked"/>
        <w:richText/>
      </w:sdtPr>
      <w:sdtContent>
        <w:p w14:paraId="45E76C36" w14:textId="77777777">
          <w:pPr>
            <w:tabs>
              <w:tab w:val="center" w:pos="4819"/>
              <w:tab w:val="right" w:pos="9638"/>
            </w:tabs>
          </w:pPr>
        </w:p>
        <w:p w14:paraId="3B619F3B" w14:textId="77777777">
          <w:pPr>
            <w:tabs>
              <w:tab w:val="center" w:pos="4819"/>
              <w:tab w:val="right" w:pos="9638"/>
            </w:tabs>
            <w:jc w:val="center"/>
            <w:rPr>
              <w:b/>
              <w:bCs/>
            </w:rPr>
          </w:pPr>
          <w:r>
            <w:rPr>
              <w:lang w:eastAsia="lt-LT"/>
            </w:rPr>
            <w:drawing>
              <wp:inline distT="0" distB="0" distL="0" distR="0" wp14:anchorId="3B619F55" wp14:editId="3B619F56">
                <wp:extent cx="527050" cy="6223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050" cy="622300"/>
                        </a:xfrm>
                        <a:prstGeom prst="rect">
                          <a:avLst/>
                        </a:prstGeom>
                        <a:solidFill>
                          <a:srgbClr val="FFFFFF">
                            <a:alpha val="0"/>
                          </a:srgbClr>
                        </a:solidFill>
                        <a:ln>
                          <a:noFill/>
                        </a:ln>
                      </pic:spPr>
                    </pic:pic>
                  </a:graphicData>
                </a:graphic>
              </wp:inline>
            </w:drawing>
          </w:r>
        </w:p>
        <w:p w14:paraId="3B619F3C" w14:textId="77777777">
          <w:pPr>
            <w:jc w:val="center"/>
            <w:rPr>
              <w:b/>
            </w:rPr>
          </w:pPr>
          <w:r>
            <w:rPr>
              <w:b/>
            </w:rPr>
            <w:t>LIETUVOS RESPUBLIKOS APLINKOS MINISTRAS</w:t>
          </w:r>
        </w:p>
        <w:p w14:paraId="3B619F3D" w14:textId="77777777">
          <w:pPr>
            <w:jc w:val="center"/>
            <w:rPr>
              <w:b/>
            </w:rPr>
          </w:pPr>
        </w:p>
        <w:p w14:paraId="3B619F3E" w14:textId="77777777">
          <w:pPr>
            <w:jc w:val="center"/>
            <w:rPr>
              <w:b/>
            </w:rPr>
          </w:pPr>
          <w:r>
            <w:rPr>
              <w:b/>
            </w:rPr>
            <w:t>ĮSAKYMAS</w:t>
          </w:r>
        </w:p>
        <w:p w14:paraId="3B619F3F" w14:textId="77777777">
          <w:pPr>
            <w:jc w:val="center"/>
            <w:rPr>
              <w:b/>
              <w:szCs w:val="24"/>
            </w:rPr>
          </w:pPr>
          <w:r>
            <w:rPr>
              <w:b/>
              <w:szCs w:val="24"/>
            </w:rPr>
            <w:t xml:space="preserve">DĖL LIETUVOS RESPUBLIKOS APLINKOS MINISTRO 2004 M. BALANDŽIO 15 D. ĮSAKYMO </w:t>
          </w:r>
          <w:r>
            <w:rPr>
              <w:b/>
              <w:iCs/>
              <w:color w:val="000000"/>
              <w:szCs w:val="24"/>
            </w:rPr>
            <w:t>NR. D1-187</w:t>
          </w:r>
          <w:r>
            <w:rPr>
              <w:b/>
              <w:szCs w:val="24"/>
            </w:rPr>
            <w:t xml:space="preserve"> „DĖL APLINKOSAUGOS SĄLYGŲ PLAUKIOTI VANDENS TELKINIUOSE PLAUKIOJIMO PRIEMONĖMIS PATVIRTINIMO“ PAKEITIMO</w:t>
          </w:r>
        </w:p>
        <w:p w14:paraId="3B619F40" w14:textId="77777777">
          <w:pPr>
            <w:rPr>
              <w:lang w:eastAsia="lt-LT"/>
            </w:rPr>
          </w:pPr>
        </w:p>
        <w:p w14:paraId="3B619F41" w14:textId="77777777">
          <w:pPr>
            <w:jc w:val="center"/>
            <w:rPr>
              <w:lang w:eastAsia="lt-LT"/>
            </w:rPr>
          </w:pPr>
          <w:r>
            <w:rPr>
              <w:lang w:eastAsia="lt-LT"/>
            </w:rPr>
            <w:t>2015 m. liepos 27 d. Nr. D1-562</w:t>
          </w:r>
        </w:p>
        <w:p w14:paraId="3B619F42" w14:textId="77777777">
          <w:pPr>
            <w:jc w:val="center"/>
            <w:rPr>
              <w:lang w:eastAsia="lt-LT"/>
            </w:rPr>
          </w:pPr>
          <w:r>
            <w:rPr>
              <w:lang w:eastAsia="lt-LT"/>
            </w:rPr>
            <w:t>Vilnius</w:t>
          </w:r>
        </w:p>
        <w:p w14:paraId="3B619F43" w14:textId="77777777">
          <w:pPr>
            <w:jc w:val="center"/>
            <w:rPr>
              <w:lang w:eastAsia="lt-LT"/>
            </w:rPr>
          </w:pPr>
        </w:p>
        <w:p w14:paraId="3B619F44" w14:textId="77777777">
          <w:pPr>
            <w:rPr>
              <w:color w:val="000000"/>
              <w:szCs w:val="24"/>
              <w:lang w:eastAsia="lt-LT"/>
            </w:rPr>
          </w:pPr>
        </w:p>
        <w:sdt>
          <w:sdtPr>
            <w:alias w:val="preambule"/>
            <w:tag w:val="part_247574ec253942529c6b9a6821b72512"/>
            <w:lock w:val="sdtLocked"/>
            <w:richText/>
          </w:sdtPr>
          <w:sdtContent>
            <w:p w14:paraId="3B619F45" w14:textId="77777777">
              <w:pPr>
                <w:ind w:firstLine="720"/>
                <w:jc w:val="both"/>
                <w:rPr>
                  <w:szCs w:val="24"/>
                  <w:lang w:eastAsia="lt-LT"/>
                </w:rPr>
              </w:pPr>
              <w:r>
                <w:rPr>
                  <w:szCs w:val="24"/>
                  <w:lang w:eastAsia="lt-LT"/>
                </w:rPr>
                <w:t>P a k e i č i u</w:t>
              </w:r>
              <w:r>
                <w:rPr>
                  <w:spacing w:val="33"/>
                  <w:szCs w:val="24"/>
                  <w:lang w:eastAsia="lt-LT"/>
                </w:rPr>
                <w:t xml:space="preserve"> </w:t>
              </w:r>
              <w:r>
                <w:rPr>
                  <w:szCs w:val="24"/>
                  <w:lang w:eastAsia="lt-LT"/>
                </w:rPr>
                <w:t>Aplinkosaugos sąlygų plaukioti vandens telkiniuose plaukiojimo priemonėmis, patvirtintų Lietuvos Respublikos aplinkos ministro 2004 m. balandžio 15 d. įsakymu Nr. D1-187 „Dėl Aplinkosaugos sąlygų plaukioti vandens telkiniuose plaukiojimo priemonėmis patvirtinimo“, priedą ir 15 punktą išdėstau taip:</w:t>
              </w:r>
            </w:p>
            <w:p w14:paraId="3B619F46" w14:textId="77777777">
              <w:pPr>
                <w:rPr>
                  <w:szCs w:val="24"/>
                  <w:lang w:eastAsia="lt-LT"/>
                </w:rPr>
              </w:pPr>
            </w:p>
          </w:sdtContent>
        </w:sdt>
        <w:sdt>
          <w:sdtPr>
            <w:alias w:val="lentele"/>
            <w:tag w:val="part_4202e4465a2f4aa3be8f7f24af2e7a36"/>
            <w:lock w:val="sdtLocked"/>
            <w:richText/>
          </w:sdtPr>
          <w:sdtContent>
            <w:tbl>
              <w:tblPr>
                <w:tblW w:w="10206"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276"/>
                <w:gridCol w:w="1418"/>
                <w:gridCol w:w="850"/>
                <w:gridCol w:w="1134"/>
                <w:gridCol w:w="851"/>
                <w:gridCol w:w="4110"/>
              </w:tblGrid>
              <w:tr w14:paraId="3B619F50" w14:textId="77777777">
                <w:tc>
                  <w:tcPr>
                    <w:tcW w:w="567" w:type="dxa"/>
                  </w:tcPr>
                  <w:p w14:paraId="3B619F47" w14:textId="77777777">
                    <w:pPr>
                      <w:rPr>
                        <w:color w:val="000000"/>
                        <w:sz w:val="23"/>
                        <w:szCs w:val="23"/>
                      </w:rPr>
                    </w:pPr>
                    <w:r>
                      <w:rPr>
                        <w:color w:val="000000"/>
                        <w:sz w:val="23"/>
                        <w:szCs w:val="23"/>
                      </w:rPr>
                      <w:t>„15.</w:t>
                    </w:r>
                  </w:p>
                </w:tc>
                <w:tc>
                  <w:tcPr>
                    <w:tcW w:w="1276" w:type="dxa"/>
                  </w:tcPr>
                  <w:p w14:paraId="3B619F48" w14:textId="77777777">
                    <w:pPr>
                      <w:rPr>
                        <w:sz w:val="23"/>
                        <w:szCs w:val="23"/>
                      </w:rPr>
                    </w:pPr>
                    <w:r>
                      <w:rPr>
                        <w:sz w:val="23"/>
                        <w:szCs w:val="23"/>
                      </w:rPr>
                      <w:t>Zarasų r.</w:t>
                    </w:r>
                  </w:p>
                </w:tc>
                <w:tc>
                  <w:tcPr>
                    <w:tcW w:w="1418" w:type="dxa"/>
                  </w:tcPr>
                  <w:p w14:paraId="3B619F49" w14:textId="77777777">
                    <w:pPr>
                      <w:rPr>
                        <w:color w:val="000000"/>
                        <w:sz w:val="23"/>
                        <w:szCs w:val="23"/>
                      </w:rPr>
                    </w:pPr>
                    <w:r>
                      <w:rPr>
                        <w:color w:val="000000"/>
                        <w:sz w:val="23"/>
                        <w:szCs w:val="23"/>
                      </w:rPr>
                      <w:t xml:space="preserve">Zaraso ežeras </w:t>
                    </w:r>
                  </w:p>
                </w:tc>
                <w:tc>
                  <w:tcPr>
                    <w:tcW w:w="850" w:type="dxa"/>
                  </w:tcPr>
                  <w:p w14:paraId="3B619F4A" w14:textId="77777777">
                    <w:pPr>
                      <w:rPr>
                        <w:sz w:val="23"/>
                        <w:szCs w:val="23"/>
                        <w:lang w:eastAsia="lt-LT"/>
                      </w:rPr>
                    </w:pPr>
                    <w:r>
                      <w:rPr>
                        <w:sz w:val="23"/>
                        <w:szCs w:val="23"/>
                        <w:lang w:eastAsia="lt-LT"/>
                      </w:rPr>
                      <w:t>323,4</w:t>
                    </w:r>
                  </w:p>
                </w:tc>
                <w:tc>
                  <w:tcPr>
                    <w:tcW w:w="1134" w:type="dxa"/>
                  </w:tcPr>
                  <w:p w14:paraId="3B619F4B" w14:textId="77777777">
                    <w:pPr>
                      <w:rPr>
                        <w:sz w:val="23"/>
                        <w:szCs w:val="23"/>
                        <w:lang w:eastAsia="lt-LT"/>
                      </w:rPr>
                    </w:pPr>
                    <w:r>
                      <w:rPr>
                        <w:sz w:val="23"/>
                        <w:szCs w:val="23"/>
                        <w:lang w:eastAsia="lt-LT"/>
                      </w:rPr>
                      <w:t>50030302</w:t>
                    </w:r>
                  </w:p>
                </w:tc>
                <w:tc>
                  <w:tcPr>
                    <w:tcW w:w="851" w:type="dxa"/>
                  </w:tcPr>
                  <w:p w14:paraId="3B619F4C" w14:textId="77777777">
                    <w:pPr>
                      <w:rPr>
                        <w:sz w:val="23"/>
                        <w:szCs w:val="23"/>
                        <w:lang w:eastAsia="lt-LT"/>
                      </w:rPr>
                    </w:pPr>
                    <w:r>
                      <w:rPr>
                        <w:sz w:val="23"/>
                        <w:szCs w:val="23"/>
                        <w:lang w:eastAsia="lt-LT"/>
                      </w:rPr>
                      <w:t>21</w:t>
                    </w:r>
                    <w:r>
                      <w:rPr>
                        <w:szCs w:val="24"/>
                      </w:rPr>
                      <w:t>–</w:t>
                    </w:r>
                    <w:r>
                      <w:rPr>
                        <w:sz w:val="23"/>
                        <w:szCs w:val="23"/>
                        <w:lang w:eastAsia="lt-LT"/>
                      </w:rPr>
                      <w:t>49</w:t>
                    </w:r>
                  </w:p>
                </w:tc>
                <w:tc>
                  <w:tcPr>
                    <w:tcW w:w="4110" w:type="dxa"/>
                  </w:tcPr>
                  <w:p w14:paraId="3B619F4D" w14:textId="77777777">
                    <w:pPr>
                      <w:rPr>
                        <w:color w:val="000000"/>
                        <w:sz w:val="23"/>
                        <w:szCs w:val="23"/>
                      </w:rPr>
                    </w:pPr>
                    <w:r>
                      <w:rPr>
                        <w:color w:val="000000"/>
                        <w:sz w:val="23"/>
                        <w:szCs w:val="23"/>
                      </w:rPr>
                      <w:t>Nuo birželio 1 d. iki navigacijos sezono pabaigos savaeigėmis plaukiojimo priemonėmis, kurių variklių galingumas neviršija 150 AG (110 kW), leidžiama plaukioti tik mažiausiuoju savaeigės plaukiojimo priemonės greičiu.</w:t>
                    </w:r>
                  </w:p>
                  <w:p w14:paraId="3B619F4E" w14:textId="77777777">
                    <w:pPr>
                      <w:rPr>
                        <w:color w:val="000000"/>
                        <w:sz w:val="23"/>
                        <w:szCs w:val="23"/>
                      </w:rPr>
                    </w:pPr>
                    <w:r>
                      <w:rPr>
                        <w:color w:val="000000"/>
                        <w:sz w:val="23"/>
                        <w:szCs w:val="23"/>
                      </w:rPr>
                      <w:t xml:space="preserve">Teisės aktų nustatyta tvarka pripažintų nacionalinių sporto (šakos) federacijų organizuojamų ir vykdomų sporto renginių arba sporto renginių, kurių organizavimą ir įgyvendinimą šios federacijos koordinuoja, metu nuo birželio 21 d. iki navigacijos sezono pabaigos leidžiama plaukioti savaeigėmis plaukiojimo priemonėmis neribojant bendro variklių galingumo. </w:t>
                    </w:r>
                  </w:p>
                  <w:p w14:paraId="3B619F4F" w14:textId="77777777">
                    <w:pPr>
                      <w:rPr>
                        <w:color w:val="000000"/>
                        <w:sz w:val="23"/>
                        <w:szCs w:val="23"/>
                      </w:rPr>
                    </w:pPr>
                    <w:r>
                      <w:rPr>
                        <w:color w:val="000000"/>
                        <w:sz w:val="23"/>
                        <w:szCs w:val="23"/>
                      </w:rPr>
                      <w:t>Nacionalinės sporto (šakos) federacijos apie šių renginių datą, laiką ir vietą turi informuoti Aplinkos ministerijos Utenos regiono aplinkos apsaugos departamentą ir Zarasų rajono savivaldybės administraciją.</w:t>
                    </w:r>
                  </w:p>
                </w:tc>
              </w:tr>
            </w:tbl>
            <w:p w14:paraId="3B619F51" w14:textId="77777777">
              <w:pPr>
                <w:rPr>
                  <w:szCs w:val="24"/>
                  <w:lang w:eastAsia="lt-LT"/>
                </w:rPr>
              </w:pPr>
            </w:p>
            <w:p w14:paraId="3B619F52" w14:textId="77777777">
              <w:pPr>
                <w:rPr>
                  <w:szCs w:val="24"/>
                  <w:lang w:eastAsia="lt-LT"/>
                </w:rPr>
              </w:pPr>
            </w:p>
            <w:p w14:paraId="3B619F53" w14:textId="77777777">
              <w:pPr>
                <w:rPr>
                  <w:szCs w:val="24"/>
                  <w:lang w:eastAsia="lt-LT"/>
                </w:rPr>
              </w:pPr>
            </w:p>
          </w:sdtContent>
        </w:sdt>
        <w:sdt>
          <w:sdtPr>
            <w:alias w:val="signatura"/>
            <w:tag w:val="part_50ce0dd306f24f5d8f7b998d5d49c882"/>
            <w:lock w:val="sdtLocked"/>
            <w:richText/>
          </w:sdtPr>
          <w:sdtContent>
            <w:p w14:paraId="3B619F54" w14:textId="77777777">
              <w:pPr>
                <w:tabs>
                  <w:tab w:val="left" w:pos="7938"/>
                </w:tabs>
                <w:rPr>
                  <w:szCs w:val="24"/>
                  <w:lang w:eastAsia="lt-LT"/>
                </w:rPr>
              </w:pPr>
              <w:r>
                <w:rPr>
                  <w:szCs w:val="24"/>
                </w:rPr>
                <w:t>Aplinkos ministras</w:t>
              </w:r>
              <w:r>
                <w:rPr>
                  <w:szCs w:val="24"/>
                  <w:lang w:eastAsia="lt-LT"/>
                </w:rPr>
                <w:tab/>
                <w:t>Kęstutis Trečiokas</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619F59" w14:textId="77777777">
      <w:pPr>
        <w:suppressAutoHyphens/>
        <w:rPr>
          <w:lang w:eastAsia="lt-LT"/>
        </w:rPr>
      </w:pPr>
      <w:r>
        <w:rPr>
          <w:lang w:eastAsia="lt-LT"/>
        </w:rPr>
        <w:separator/>
      </w:r>
    </w:p>
  </w:endnote>
  <w:endnote w:type="continuationSeparator" w:id="0">
    <w:p w14:paraId="3B619F5A" w14:textId="77777777">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619F5E"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619F5F"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619F61"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619F57" w14:textId="77777777">
      <w:pPr>
        <w:suppressAutoHyphens/>
        <w:rPr>
          <w:lang w:eastAsia="lt-LT"/>
        </w:rPr>
      </w:pPr>
      <w:r>
        <w:rPr>
          <w:lang w:eastAsia="lt-LT"/>
        </w:rPr>
        <w:separator/>
      </w:r>
    </w:p>
  </w:footnote>
  <w:footnote w:type="continuationSeparator" w:id="0">
    <w:p w14:paraId="3B619F58" w14:textId="77777777">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619F5B"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619F5C" w14:textId="77777777">
    <w:pPr>
      <w:tabs>
        <w:tab w:val="center" w:pos="4819"/>
        <w:tab w:val="right" w:pos="9638"/>
      </w:tabs>
      <w:jc w:val="center"/>
    </w:pPr>
    <w:r>
      <w:fldChar w:fldCharType="begin"/>
    </w:r>
    <w:r>
      <w:instrText xml:space="preserve"> PAGE   \* MERGEFORMAT </w:instrText>
    </w:r>
    <w:r>
      <w:fldChar w:fldCharType="separate"/>
    </w:r>
    <w:r>
      <w:t>2</w:t>
    </w:r>
    <w:r>
      <w:fldChar w:fldCharType="end"/>
    </w:r>
  </w:p>
  <w:p w14:paraId="3B619F5D" w14:textId="77777777">
    <w:pPr>
      <w:tabs>
        <w:tab w:val="center" w:pos="4153"/>
        <w:tab w:val="right" w:pos="9100"/>
      </w:tabs>
      <w:suppressAutoHyphens/>
      <w:jc w:val="center"/>
      <w:rPr>
        <w:spacing w:val="10"/>
        <w:szCs w:val="24"/>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619F60"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F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B619F3B"/>
  <w14:defaultImageDpi w14:val="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874999092">
      <w:marLeft w:val="225"/>
      <w:marRight w:val="225"/>
      <w:marTop w:val="0"/>
      <w:marBottom w:val="0"/>
      <w:divBdr>
        <w:top w:val="none" w:sz="0" w:space="0" w:color="auto"/>
        <w:left w:val="none" w:sz="0" w:space="0" w:color="auto"/>
        <w:bottom w:val="none" w:sz="0" w:space="0" w:color="auto"/>
        <w:right w:val="none" w:sz="0" w:space="0" w:color="auto"/>
      </w:divBdr>
      <w:divsChild>
        <w:div w:id="18749990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pixelsPerInch w:val="120"/>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b661d1451cee445786ca2e7a261d8329" PartId="0a0312d9a8f9454faafbf7eca2cf22f0">
    <Part Type="preambule" DocPartId="514bfd9f23634101a86eaf5309face2d" PartId="247574ec253942529c6b9a6821b72512"/>
    <Part Type="lentele" DocPartId="36fabc5b00f844a0b9b587577ecd03cf" PartId="4202e4465a2f4aa3be8f7f24af2e7a36"/>
    <Part Type="signatura" DocPartId="5948178c0c70445f90c31d131b6c41e2" PartId="50ce0dd306f24f5d8f7b998d5d49c882"/>
  </Part>
</Parts>
</file>

<file path=customXml/itemProps1.xml><?xml version="1.0" encoding="utf-8"?>
<ds:datastoreItem xmlns:ds="http://schemas.openxmlformats.org/officeDocument/2006/customXml" ds:itemID="{49274749-AD8F-401A-902E-FD4A7C21308C}">
  <ds:schemaRefs>
    <ds:schemaRef ds:uri="http://schemas.openxmlformats.org/officeDocument/2006/bibliography"/>
  </ds:schemaRefs>
</ds:datastoreItem>
</file>

<file path=customXml/itemProps2.xml><?xml version="1.0" encoding="utf-8"?>
<ds:datastoreItem xmlns:ds="http://schemas.openxmlformats.org/officeDocument/2006/customXml" ds:itemID="{F8DC0D74-F68F-4F53-990D-B29BD6CF57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187</Words>
  <Characters>1294</Characters>
  <Application>Microsoft Office Word</Application>
  <DocSecurity>4</DocSecurity>
  <Lines>47</Lines>
  <Paragraphs>18</Paragraphs>
  <ScaleCrop>false</ScaleCrop>
  <HeadingPairs>
    <vt:vector size="2" baseType="variant">
      <vt:variant>
        <vt:lpstr>Title</vt:lpstr>
      </vt:variant>
      <vt:variant>
        <vt:i4>1</vt:i4>
      </vt:variant>
    </vt:vector>
  </HeadingPairs>
  <TitlesOfParts>
    <vt:vector size="1" baseType="lpstr">
      <vt:lpstr>&lt;Adresatas&gt;</vt:lpstr>
    </vt:vector>
  </TitlesOfParts>
  <Company>Aplinkos ministerija, Informacijos valdymo skyrius</Company>
  <LinksUpToDate>false</LinksUpToDate>
  <CharactersWithSpaces>1463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2015-09-08T09:59:00Z</dcterms:created>
  <dc:creator>a.balsyte</dc:creator>
  <lastModifiedBy>Adlib User</lastModifiedBy>
  <lastPrinted>2015-07-24T05:18:00Z</lastPrinted>
  <dcterms:modified xsi:type="dcterms:W3CDTF">2015-09-08T09:59:00Z</dcterms:modified>
  <revision>2</revision>
  <dc:title>&lt;Adresatas&gt;</dc:title>
</coreProperties>
</file>