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c2054ab42bf4a23a376ae5d3d96421e"/>
        <w:id w:val="1077942766"/>
        <w:lock w:val="sdtLocked"/>
      </w:sdtPr>
      <w:sdtEndPr/>
      <w:sdtContent>
        <w:p w14:paraId="0BFD5F39" w14:textId="77777777" w:rsidR="006E7235" w:rsidRDefault="006E7235" w:rsidP="0070131F">
          <w:pPr>
            <w:tabs>
              <w:tab w:val="center" w:pos="4153"/>
              <w:tab w:val="right" w:pos="8306"/>
            </w:tabs>
            <w:overflowPunct w:val="0"/>
            <w:jc w:val="center"/>
            <w:textAlignment w:val="baseline"/>
            <w:rPr>
              <w:lang w:val="en-GB"/>
            </w:rPr>
          </w:pPr>
        </w:p>
        <w:p w14:paraId="7271EE39" w14:textId="0D4C4D8E" w:rsidR="006E7235" w:rsidRDefault="0070131F">
          <w:pPr>
            <w:overflowPunct w:val="0"/>
            <w:jc w:val="center"/>
            <w:textAlignment w:val="baseline"/>
          </w:pPr>
          <w:r>
            <w:rPr>
              <w:noProof/>
              <w:lang w:eastAsia="lt-LT"/>
            </w:rPr>
            <w:drawing>
              <wp:inline distT="0" distB="0" distL="0" distR="0" wp14:anchorId="212387D0" wp14:editId="5DE09F4E">
                <wp:extent cx="993775" cy="6642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3775" cy="664210"/>
                        </a:xfrm>
                        <a:prstGeom prst="rect">
                          <a:avLst/>
                        </a:prstGeom>
                        <a:noFill/>
                      </pic:spPr>
                    </pic:pic>
                  </a:graphicData>
                </a:graphic>
              </wp:inline>
            </w:drawing>
          </w:r>
        </w:p>
        <w:p w14:paraId="39351CF4" w14:textId="77777777" w:rsidR="006E7235" w:rsidRDefault="006E7235">
          <w:pPr>
            <w:overflowPunct w:val="0"/>
            <w:jc w:val="center"/>
            <w:textAlignment w:val="baseline"/>
            <w:rPr>
              <w:sz w:val="16"/>
              <w:szCs w:val="16"/>
            </w:rPr>
          </w:pPr>
        </w:p>
        <w:p w14:paraId="45A49DBF" w14:textId="77777777" w:rsidR="006E7235" w:rsidRDefault="0070131F">
          <w:pPr>
            <w:overflowPunct w:val="0"/>
            <w:jc w:val="center"/>
            <w:textAlignment w:val="baseline"/>
            <w:rPr>
              <w:b/>
              <w:sz w:val="28"/>
              <w:szCs w:val="28"/>
            </w:rPr>
          </w:pPr>
          <w:r>
            <w:rPr>
              <w:b/>
              <w:sz w:val="28"/>
              <w:szCs w:val="28"/>
            </w:rPr>
            <w:t>LIETUVOS RESPUBLIKOS ŽEMĖS ŪKIO MINISTRAS</w:t>
          </w:r>
        </w:p>
        <w:p w14:paraId="574491CF" w14:textId="77777777" w:rsidR="006E7235" w:rsidRDefault="006E7235">
          <w:pPr>
            <w:overflowPunct w:val="0"/>
            <w:jc w:val="center"/>
            <w:textAlignment w:val="baseline"/>
            <w:rPr>
              <w:b/>
              <w:sz w:val="28"/>
              <w:szCs w:val="28"/>
            </w:rPr>
          </w:pPr>
        </w:p>
        <w:p w14:paraId="533FA7AC" w14:textId="002291CA" w:rsidR="006E7235" w:rsidRDefault="0070131F">
          <w:pPr>
            <w:overflowPunct w:val="0"/>
            <w:jc w:val="center"/>
            <w:textAlignment w:val="baseline"/>
            <w:rPr>
              <w:b/>
              <w:caps/>
            </w:rPr>
          </w:pPr>
          <w:r>
            <w:rPr>
              <w:b/>
              <w:caps/>
            </w:rPr>
            <w:t xml:space="preserve">Dėl 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patvirtinimo“ pakeitimo</w:t>
          </w:r>
        </w:p>
        <w:p w14:paraId="2699D2AC" w14:textId="77777777" w:rsidR="006E7235" w:rsidRDefault="006E7235">
          <w:pPr>
            <w:overflowPunct w:val="0"/>
            <w:jc w:val="center"/>
            <w:textAlignment w:val="baseline"/>
          </w:pPr>
        </w:p>
        <w:p w14:paraId="6A8C8238" w14:textId="492E890C" w:rsidR="006E7235" w:rsidRDefault="0070131F">
          <w:pPr>
            <w:overflowPunct w:val="0"/>
            <w:jc w:val="center"/>
            <w:textAlignment w:val="baseline"/>
            <w:rPr>
              <w:szCs w:val="24"/>
              <w:lang w:eastAsia="lt-LT"/>
            </w:rPr>
          </w:pPr>
          <w:r>
            <w:t xml:space="preserve">2025 m. gruodžio 18 d. Nr. </w:t>
          </w:r>
          <w:r>
            <w:rPr>
              <w:szCs w:val="24"/>
              <w:lang w:eastAsia="lt-LT"/>
            </w:rPr>
            <w:t>3D-637</w:t>
          </w:r>
        </w:p>
        <w:p w14:paraId="3749C471" w14:textId="77777777" w:rsidR="006E7235" w:rsidRDefault="0070131F">
          <w:pPr>
            <w:overflowPunct w:val="0"/>
            <w:jc w:val="center"/>
            <w:textAlignment w:val="baseline"/>
          </w:pPr>
          <w:r>
            <w:t>Vilnius</w:t>
          </w:r>
        </w:p>
        <w:p w14:paraId="38648D35" w14:textId="77777777" w:rsidR="006E7235" w:rsidRDefault="006E7235">
          <w:pPr>
            <w:overflowPunct w:val="0"/>
            <w:jc w:val="center"/>
            <w:textAlignment w:val="baseline"/>
          </w:pPr>
        </w:p>
        <w:p w14:paraId="111C19B1" w14:textId="77777777" w:rsidR="006E7235" w:rsidRDefault="006E7235">
          <w:pPr>
            <w:overflowPunct w:val="0"/>
            <w:jc w:val="center"/>
            <w:textAlignment w:val="baseline"/>
          </w:pPr>
        </w:p>
        <w:sdt>
          <w:sdtPr>
            <w:alias w:val="1 p."/>
            <w:tag w:val="part_6198dd74123d46abb683c11b9c50ba24"/>
            <w:id w:val="1245688676"/>
            <w:lock w:val="sdtLocked"/>
          </w:sdtPr>
          <w:sdtEndPr/>
          <w:sdtContent>
            <w:p w14:paraId="3F0F220F" w14:textId="77777777" w:rsidR="006E7235" w:rsidRDefault="0070131F">
              <w:pPr>
                <w:overflowPunct w:val="0"/>
                <w:spacing w:line="360" w:lineRule="auto"/>
                <w:ind w:firstLine="720"/>
                <w:jc w:val="both"/>
                <w:textAlignment w:val="baseline"/>
                <w:rPr>
                  <w:szCs w:val="24"/>
                </w:rPr>
              </w:pPr>
              <w:sdt>
                <w:sdtPr>
                  <w:alias w:val="Numeris"/>
                  <w:tag w:val="nr_6198dd74123d46abb683c11b9c50ba24"/>
                  <w:id w:val="-1539039090"/>
                  <w:lock w:val="sdtLocked"/>
                </w:sdtPr>
                <w:sdtEndPr/>
                <w:sdtContent>
                  <w:r>
                    <w:rPr>
                      <w:szCs w:val="24"/>
                    </w:rPr>
                    <w:t>1</w:t>
                  </w:r>
                </w:sdtContent>
              </w:sdt>
              <w:r>
                <w:rPr>
                  <w:szCs w:val="24"/>
                </w:rPr>
                <w:t>. P a k e i č i u Lietuvos kaimo plėtros 2014–2020 metų progra</w:t>
              </w:r>
              <w:r>
                <w:rPr>
                  <w:szCs w:val="24"/>
                </w:rPr>
                <w:t>mos priemonės „Investicijos į miško plotų plėtrą ir miškų gyvybingumo gerinimą“ veiklos srities „Miško veisimas“ įgyvendinimo taisykles, patvirtintas Lietuvos Respublikos žemės ūkio ministro 2015 m. birželio 26 d. įsakymu Nr. 3D-538 „Dėl Lietuvos kaimo plė</w:t>
              </w:r>
              <w:r>
                <w:rPr>
                  <w:szCs w:val="24"/>
                </w:rPr>
                <w:t xml:space="preserve">tros 2014–2020 metų programos priemonės „Investicijos į miško plotų plėtrą ir miškų gyvybingumo gerinimą“ veiklos srities „Miško veisimas“ įgyvendinimo taisyklių patvirtinimo“: </w:t>
              </w:r>
            </w:p>
            <w:sdt>
              <w:sdtPr>
                <w:alias w:val="1.1 pp."/>
                <w:tag w:val="part_7a39629d85b94de388b1df029d83e339"/>
                <w:id w:val="-1287037370"/>
                <w:lock w:val="sdtLocked"/>
              </w:sdtPr>
              <w:sdtEndPr/>
              <w:sdtContent>
                <w:p w14:paraId="429A6CC5" w14:textId="77777777" w:rsidR="006E7235" w:rsidRDefault="0070131F">
                  <w:pPr>
                    <w:overflowPunct w:val="0"/>
                    <w:spacing w:line="360" w:lineRule="auto"/>
                    <w:ind w:firstLine="720"/>
                    <w:jc w:val="both"/>
                    <w:textAlignment w:val="baseline"/>
                    <w:rPr>
                      <w:szCs w:val="24"/>
                    </w:rPr>
                  </w:pPr>
                  <w:sdt>
                    <w:sdtPr>
                      <w:alias w:val="Numeris"/>
                      <w:tag w:val="nr_7a39629d85b94de388b1df029d83e339"/>
                      <w:id w:val="716863758"/>
                      <w:lock w:val="sdtLocked"/>
                    </w:sdtPr>
                    <w:sdtEndPr/>
                    <w:sdtContent>
                      <w:r>
                        <w:rPr>
                          <w:szCs w:val="24"/>
                        </w:rPr>
                        <w:t>1.1</w:t>
                      </w:r>
                    </w:sdtContent>
                  </w:sdt>
                  <w:r>
                    <w:rPr>
                      <w:szCs w:val="24"/>
                    </w:rPr>
                    <w:t>. Pakeičiu 1</w:t>
                  </w:r>
                  <w:r>
                    <w:rPr>
                      <w:szCs w:val="24"/>
                      <w:lang w:eastAsia="lt-LT"/>
                    </w:rPr>
                    <w:t xml:space="preserve"> punktą </w:t>
                  </w:r>
                  <w:r>
                    <w:rPr>
                      <w:bCs/>
                      <w:szCs w:val="24"/>
                    </w:rPr>
                    <w:t>ir jį išdėstau taip</w:t>
                  </w:r>
                  <w:r>
                    <w:rPr>
                      <w:szCs w:val="24"/>
                    </w:rPr>
                    <w:t>:</w:t>
                  </w:r>
                </w:p>
                <w:sdt>
                  <w:sdtPr>
                    <w:alias w:val="citata"/>
                    <w:tag w:val="part_810915d2273c4d5e82e436fea0c4dea7"/>
                    <w:id w:val="15357014"/>
                    <w:lock w:val="sdtLocked"/>
                  </w:sdtPr>
                  <w:sdtEndPr/>
                  <w:sdtContent>
                    <w:sdt>
                      <w:sdtPr>
                        <w:alias w:val="1 p."/>
                        <w:tag w:val="part_9d11cafd15014831a6b4803d0f755e45"/>
                        <w:id w:val="1885682540"/>
                        <w:lock w:val="sdtLocked"/>
                      </w:sdtPr>
                      <w:sdtEndPr/>
                      <w:sdtContent>
                        <w:p w14:paraId="394B9ACF" w14:textId="1367E2B9" w:rsidR="006E7235" w:rsidRDefault="0070131F">
                          <w:pPr>
                            <w:overflowPunct w:val="0"/>
                            <w:spacing w:line="360" w:lineRule="auto"/>
                            <w:ind w:firstLine="720"/>
                            <w:jc w:val="both"/>
                            <w:textAlignment w:val="baseline"/>
                            <w:rPr>
                              <w:szCs w:val="24"/>
                            </w:rPr>
                          </w:pPr>
                          <w:r>
                            <w:rPr>
                              <w:szCs w:val="24"/>
                            </w:rPr>
                            <w:t>„</w:t>
                          </w:r>
                          <w:sdt>
                            <w:sdtPr>
                              <w:alias w:val="Numeris"/>
                              <w:tag w:val="nr_9d11cafd15014831a6b4803d0f755e45"/>
                              <w:id w:val="1691882675"/>
                              <w:lock w:val="sdtLocked"/>
                            </w:sdtPr>
                            <w:sdtEndPr/>
                            <w:sdtContent>
                              <w:r>
                                <w:rPr>
                                  <w:szCs w:val="24"/>
                                </w:rPr>
                                <w:t>1</w:t>
                              </w:r>
                            </w:sdtContent>
                          </w:sdt>
                          <w:r>
                            <w:rPr>
                              <w:szCs w:val="24"/>
                            </w:rPr>
                            <w:t>. Lietuvos kaimo plėtros 201</w:t>
                          </w:r>
                          <w:r>
                            <w:rPr>
                              <w:szCs w:val="24"/>
                            </w:rPr>
                            <w:t>4–2020 metų programos priemonės „Investicijos į miško plotų plėtrą ir miškų gyvybingumo gerinimą“ veiklos srities „Miško veisimas“ įgyvendinimo taisyklės (toliau – Taisyklės) parengtos vadovaujantis 2013 m. gruodžio 17 d. Europos Parlamento ir Tarybos regl</w:t>
                          </w:r>
                          <w:r>
                            <w:rPr>
                              <w:szCs w:val="24"/>
                            </w:rPr>
                            <w:t xml:space="preserve">amentu </w:t>
                          </w:r>
                          <w:hyperlink r:id="rId9" w:tgtFrame="_blank" w:history="1">
                            <w:r>
                              <w:rPr>
                                <w:color w:val="0000FF" w:themeColor="hyperlink"/>
                                <w:szCs w:val="24"/>
                                <w:u w:val="single"/>
                              </w:rPr>
                              <w:t>(ES) Nr.1305/2013</w:t>
                            </w:r>
                          </w:hyperlink>
                          <w:r>
                            <w:rPr>
                              <w:szCs w:val="24"/>
                            </w:rPr>
                            <w:t xml:space="preserve"> dėl paramos kaimo plėtrai, teikiamos Europos žemės ūkio fondo kaimo plėtrai (EŽŪFKP) lėšomis, kuriuo panaikinamas Tarybos reglamen</w:t>
                          </w:r>
                          <w:r>
                            <w:rPr>
                              <w:szCs w:val="24"/>
                            </w:rPr>
                            <w:t xml:space="preserve">tas </w:t>
                          </w:r>
                          <w:hyperlink r:id="rId10" w:tgtFrame="_blank" w:history="1">
                            <w:r>
                              <w:rPr>
                                <w:color w:val="0000FF" w:themeColor="hyperlink"/>
                                <w:szCs w:val="24"/>
                                <w:u w:val="single"/>
                              </w:rPr>
                              <w:t>(EB) Nr. 1698/2005</w:t>
                            </w:r>
                          </w:hyperlink>
                          <w:r>
                            <w:rPr>
                              <w:szCs w:val="24"/>
                            </w:rPr>
                            <w:t xml:space="preserve">, su visais pakeitimais, 2014 m. liepos 17 d. Komisijos reglamentu </w:t>
                          </w:r>
                          <w:hyperlink r:id="rId11" w:tgtFrame="_blank" w:history="1">
                            <w:r>
                              <w:rPr>
                                <w:color w:val="0000FF" w:themeColor="hyperlink"/>
                                <w:szCs w:val="24"/>
                                <w:u w:val="single"/>
                              </w:rPr>
                              <w:t>(ES) Nr. 808/2014</w:t>
                            </w:r>
                          </w:hyperlink>
                          <w:r>
                            <w:rPr>
                              <w:szCs w:val="24"/>
                            </w:rPr>
                            <w:t xml:space="preserve">, nustatančiu Europos Parlamento ir Tarybos reglamento </w:t>
                          </w:r>
                          <w:hyperlink r:id="rId12"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taikymo taisykles, su visais pakeitimais, 2014 m. kovo 11 d. Komisijos deleguotuoju reglamentu </w:t>
                          </w:r>
                          <w:hyperlink r:id="rId13" w:tgtFrame="_blank" w:history="1">
                            <w:r>
                              <w:rPr>
                                <w:color w:val="0000FF" w:themeColor="hyperlink"/>
                                <w:szCs w:val="24"/>
                                <w:u w:val="single"/>
                              </w:rPr>
                              <w:t>(ES) Nr. 807/2014</w:t>
                            </w:r>
                          </w:hyperlink>
                          <w:r>
                            <w:rPr>
                              <w:szCs w:val="24"/>
                            </w:rPr>
                            <w:t xml:space="preserve">, nustatančiu Europos Parlamento ir Tarybos reglamento </w:t>
                          </w:r>
                          <w:hyperlink r:id="rId14" w:tgtFrame="_blank" w:history="1">
                            <w:r>
                              <w:rPr>
                                <w:color w:val="0000FF" w:themeColor="hyperlink"/>
                                <w:szCs w:val="24"/>
                                <w:u w:val="single"/>
                              </w:rPr>
                              <w:t>(EB) Nr. 1305/2013</w:t>
                            </w:r>
                          </w:hyperlink>
                          <w:r>
                            <w:rPr>
                              <w:szCs w:val="24"/>
                            </w:rPr>
                            <w:t xml:space="preserve"> dėl paramos kaimo plėtrai, te</w:t>
                          </w:r>
                          <w:r>
                            <w:rPr>
                              <w:szCs w:val="24"/>
                            </w:rPr>
                            <w:t xml:space="preserve">ikiamos Europos žemės ūkio fondo kaimo plėtrai (EŽŪFKP) lėšomis, pereinamojo laikotarpio nuostatas, su visais pakeitimais, 2013 m. gruodžio 17 d. Europos Parlamento ir Tarybos reglamentu </w:t>
                          </w:r>
                          <w:hyperlink r:id="rId15" w:tgtFrame="_blank" w:history="1">
                            <w:r>
                              <w:rPr>
                                <w:color w:val="0000FF" w:themeColor="hyperlink"/>
                                <w:szCs w:val="24"/>
                                <w:u w:val="single"/>
                              </w:rPr>
                              <w:t>(ES) Nr. 1303/2013</w:t>
                            </w:r>
                          </w:hyperlink>
                          <w:r>
                            <w:rPr>
                              <w:szCs w:val="24"/>
                            </w:rPr>
                            <w:t>, kuriuo nustatomos Europos regioninės plėtros fondui, Europos socialiniam fondui, Sanglaudos fondui, Europos žemės ūkio fondui kaimo plėtrai ir Europos jūros reikalų ir žuvininkystės fondui bendros nuostat</w:t>
                          </w:r>
                          <w:r>
                            <w:rPr>
                              <w:szCs w:val="24"/>
                            </w:rPr>
                            <w:t xml:space="preserve">os ir Europos regioninės plėtros fondui, Europos socialiniam fondui, Sanglaudos fondui ir Europos jūros reikalų ir žuvininkystės fondui taikytinos </w:t>
                          </w:r>
                          <w:r>
                            <w:rPr>
                              <w:szCs w:val="24"/>
                            </w:rPr>
                            <w:lastRenderedPageBreak/>
                            <w:t xml:space="preserve">bendrosios nuostatos ir panaikinamas Tarybos reglamentas </w:t>
                          </w:r>
                          <w:hyperlink r:id="rId16" w:tgtFrame="_blank" w:history="1">
                            <w:r>
                              <w:rPr>
                                <w:color w:val="0000FF" w:themeColor="hyperlink"/>
                                <w:szCs w:val="24"/>
                                <w:u w:val="single"/>
                              </w:rPr>
                              <w:t>(EB) Nr. 1083/2006</w:t>
                            </w:r>
                          </w:hyperlink>
                          <w:r>
                            <w:rPr>
                              <w:szCs w:val="24"/>
                            </w:rPr>
                            <w:t xml:space="preserve">, su visais pakeitimais, 2020 m. gruodžio 23 d. Europos Parlamento ir Tarybos reglamentu </w:t>
                          </w:r>
                          <w:hyperlink r:id="rId17" w:tgtFrame="_blank" w:history="1">
                            <w:r>
                              <w:rPr>
                                <w:color w:val="0000FF" w:themeColor="hyperlink"/>
                                <w:szCs w:val="24"/>
                                <w:u w:val="single"/>
                              </w:rPr>
                              <w:t>(ES) 2020/2220</w:t>
                            </w:r>
                          </w:hyperlink>
                          <w:r>
                            <w:rPr>
                              <w:szCs w:val="24"/>
                            </w:rPr>
                            <w:t xml:space="preserve">, kuriuo nustatomos tam tikros pereinamojo laikotarpio nuostatos dėl 2021 m. ir 2022 m. paramos iš Europos žemės ūkio fondo kaimo plėtrai (EŽŪFKP) ir Europos žemės ūkio garantijų fondo (EŽŪGF), ir iš dalies keičiami reglamentai </w:t>
                          </w:r>
                          <w:hyperlink r:id="rId18" w:tgtFrame="_blank" w:history="1">
                            <w:r>
                              <w:rPr>
                                <w:color w:val="0000FF" w:themeColor="hyperlink"/>
                                <w:szCs w:val="24"/>
                                <w:u w:val="single"/>
                              </w:rPr>
                              <w:t>(ES) Nr. 1305/2013</w:t>
                            </w:r>
                          </w:hyperlink>
                          <w:r>
                            <w:rPr>
                              <w:szCs w:val="24"/>
                            </w:rPr>
                            <w:t xml:space="preserve">, </w:t>
                          </w:r>
                          <w:hyperlink r:id="rId19" w:tgtFrame="_blank" w:history="1">
                            <w:r>
                              <w:rPr>
                                <w:color w:val="0000FF" w:themeColor="hyperlink"/>
                                <w:szCs w:val="24"/>
                                <w:u w:val="single"/>
                              </w:rPr>
                              <w:t>(ES) Nr. 1306/2013</w:t>
                            </w:r>
                          </w:hyperlink>
                          <w:r>
                            <w:rPr>
                              <w:szCs w:val="24"/>
                            </w:rPr>
                            <w:t xml:space="preserve"> ir </w:t>
                          </w:r>
                          <w:hyperlink r:id="rId20" w:tgtFrame="_blank" w:history="1">
                            <w:r>
                              <w:rPr>
                                <w:color w:val="0000FF" w:themeColor="hyperlink"/>
                                <w:szCs w:val="24"/>
                                <w:u w:val="single"/>
                              </w:rPr>
                              <w:t>(ES) Nr. 1307/2013</w:t>
                            </w:r>
                          </w:hyperlink>
                          <w:r>
                            <w:rPr>
                              <w:szCs w:val="24"/>
                            </w:rPr>
                            <w:t xml:space="preserve">, kiek tai susiję su 2021 m. ir 2022 m. ištekliais ir taikymu, ir Reglamentas </w:t>
                          </w:r>
                          <w:hyperlink r:id="rId21" w:tgtFrame="_blank" w:history="1">
                            <w:r>
                              <w:rPr>
                                <w:color w:val="0000FF" w:themeColor="hyperlink"/>
                                <w:szCs w:val="24"/>
                                <w:u w:val="single"/>
                              </w:rPr>
                              <w:t>(ES) Nr. 1308/2013</w:t>
                            </w:r>
                          </w:hyperlink>
                          <w:r>
                            <w:rPr>
                              <w:szCs w:val="24"/>
                            </w:rPr>
                            <w:t xml:space="preserve">, kiek tai susiję su 2021 m. ir 2022 m. ištekliais ir tokios paramos skirstymu, 2021 m. gruodžio 2 d. Europos Parlamento ir Tarybos reglamentu </w:t>
                          </w:r>
                          <w:hyperlink r:id="rId22" w:tgtFrame="_blank" w:history="1">
                            <w:r>
                              <w:rPr>
                                <w:color w:val="0000FF" w:themeColor="hyperlink"/>
                                <w:szCs w:val="24"/>
                                <w:u w:val="single"/>
                              </w:rPr>
                              <w:t>(ES) Nr. 2021/2115</w:t>
                            </w:r>
                          </w:hyperlink>
                          <w:r>
                            <w:rPr>
                              <w:szCs w:val="24"/>
                            </w:rPr>
                            <w:t>, kuriuo nustatomos valstybių narių pagal bendrą žemės ūkio politiką rengtinų strateginių planų (BŽŪP strateginių planų), finansuotinų iš Europos žemės ūkio garantijų fondo (EŽŪGF) ir iš Europos žemės ūkio fondo kai</w:t>
                          </w:r>
                          <w:r>
                            <w:rPr>
                              <w:szCs w:val="24"/>
                            </w:rPr>
                            <w:t xml:space="preserve">mo plėtrai (EŽŪFKP), rėmimo taisyklės ir panaikinami reglamentai </w:t>
                          </w:r>
                          <w:hyperlink r:id="rId23" w:tgtFrame="_blank" w:history="1">
                            <w:r>
                              <w:rPr>
                                <w:color w:val="0000FF" w:themeColor="hyperlink"/>
                                <w:szCs w:val="24"/>
                                <w:u w:val="single"/>
                              </w:rPr>
                              <w:t>(ES) Nr. 1305/2013</w:t>
                            </w:r>
                          </w:hyperlink>
                          <w:r>
                            <w:rPr>
                              <w:szCs w:val="24"/>
                            </w:rPr>
                            <w:t xml:space="preserve"> ir </w:t>
                          </w:r>
                          <w:hyperlink r:id="rId24" w:tgtFrame="_blank" w:history="1">
                            <w:r>
                              <w:rPr>
                                <w:color w:val="0000FF" w:themeColor="hyperlink"/>
                                <w:szCs w:val="24"/>
                                <w:u w:val="single"/>
                              </w:rPr>
                              <w:t>(ES) Nr. 1307/2013</w:t>
                            </w:r>
                          </w:hyperlink>
                          <w:r>
                            <w:rPr>
                              <w:szCs w:val="24"/>
                            </w:rPr>
                            <w:t xml:space="preserve">, su visais pakeitimais, 2013 m. gruodžio 18 d. Komisijos reglamentu </w:t>
                          </w:r>
                          <w:hyperlink r:id="rId25" w:tgtFrame="_blank" w:history="1">
                            <w:r>
                              <w:rPr>
                                <w:color w:val="0000FF" w:themeColor="hyperlink"/>
                                <w:szCs w:val="24"/>
                                <w:u w:val="single"/>
                              </w:rPr>
                              <w:t>(ES) Nr. 1407/2013</w:t>
                            </w:r>
                          </w:hyperlink>
                          <w:r>
                            <w:rPr>
                              <w:szCs w:val="24"/>
                            </w:rPr>
                            <w:t xml:space="preserve"> dėl Sutarties dė</w:t>
                          </w:r>
                          <w:r>
                            <w:rPr>
                              <w:szCs w:val="24"/>
                            </w:rPr>
                            <w:t>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(toliau – Komisijos reglamentas Nr. (ES) 1407/2013), su visais pakeitimas, 2023 m. gruodžio 13 d. Komisijos reglamentu </w:t>
                          </w:r>
                          <w:hyperlink r:id="rId26" w:tgtFrame="_blank" w:history="1">
                            <w:r>
                              <w:rPr>
                                <w:color w:val="0000FF" w:themeColor="hyperlink"/>
                                <w:szCs w:val="24"/>
                                <w:u w:val="single"/>
                              </w:rPr>
                              <w:t>(ES)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(toliau – komisijos reglamentas </w:t>
                          </w:r>
                          <w:hyperlink r:id="rId27" w:tgtFrame="_blank" w:history="1">
                            <w:r>
                              <w:rPr>
                                <w:color w:val="0000FF" w:themeColor="hyperlink"/>
                                <w:szCs w:val="24"/>
                                <w:u w:val="single"/>
                              </w:rPr>
                              <w:t>(ES) 2023/2831</w:t>
                            </w:r>
                          </w:hyperlink>
                          <w:r>
                            <w:rPr>
                              <w:szCs w:val="24"/>
                            </w:rPr>
                            <w:t>), Lietuvos Respublikos Vyriausybės 2014 m. liepos 22 d. nutarimu Nr. 722 „Dėl valstybės institucijų ir įstaigų, savivaldybių ir kitų juridinių asmenų, atsakingų už Lietuvos kaimo plėtros 2014–2020 metų programos įgy</w:t>
                          </w:r>
                          <w:r>
                            <w:rPr>
                              <w:szCs w:val="24"/>
                            </w:rPr>
                            <w:t>vendinimą, paskyrimo“ bei Lietuvos kaimo plėtros 2014–2020 metų programos administravimo taisyklėmis, patvirtintomis Lietuvos Respublikos žemės ūkio ministro 2014 m. rugpjūčio 26 d. įsakymu Nr. 3D-507 „Dėl Lietuvos kaimo plėtros 2014–2020 metų programos ad</w:t>
                          </w:r>
                          <w:r>
                            <w:rPr>
                              <w:szCs w:val="24"/>
                            </w:rPr>
                            <w:t>ministravimo taisyklių patvirtinimo“ (toliau – Administravimo taisyklės).“</w:t>
                          </w:r>
                        </w:p>
                      </w:sdtContent>
                    </w:sdt>
                  </w:sdtContent>
                </w:sdt>
              </w:sdtContent>
            </w:sdt>
            <w:sdt>
              <w:sdtPr>
                <w:alias w:val="1.2 pp."/>
                <w:tag w:val="part_d9a374049681458babb716c86b2b3029"/>
                <w:id w:val="1453523386"/>
                <w:lock w:val="sdtLocked"/>
              </w:sdtPr>
              <w:sdtEndPr/>
              <w:sdtContent>
                <w:p w14:paraId="247EB77D" w14:textId="77777777" w:rsidR="006E7235" w:rsidRDefault="0070131F">
                  <w:pPr>
                    <w:overflowPunct w:val="0"/>
                    <w:spacing w:line="360" w:lineRule="auto"/>
                    <w:ind w:firstLine="720"/>
                    <w:jc w:val="both"/>
                    <w:textAlignment w:val="baseline"/>
                    <w:rPr>
                      <w:szCs w:val="24"/>
                    </w:rPr>
                  </w:pPr>
                  <w:sdt>
                    <w:sdtPr>
                      <w:alias w:val="Numeris"/>
                      <w:tag w:val="nr_d9a374049681458babb716c86b2b3029"/>
                      <w:id w:val="-187843370"/>
                      <w:lock w:val="sdtLocked"/>
                    </w:sdtPr>
                    <w:sdtEndPr/>
                    <w:sdtContent>
                      <w:r>
                        <w:rPr>
                          <w:szCs w:val="24"/>
                        </w:rPr>
                        <w:t>1.2</w:t>
                      </w:r>
                    </w:sdtContent>
                  </w:sdt>
                  <w:r>
                    <w:rPr>
                      <w:szCs w:val="24"/>
                    </w:rPr>
                    <w:t>. Pakeičiu 10</w:t>
                  </w:r>
                  <w:r>
                    <w:rPr>
                      <w:szCs w:val="24"/>
                      <w:lang w:eastAsia="lt-LT"/>
                    </w:rPr>
                    <w:t xml:space="preserve"> punktą </w:t>
                  </w:r>
                  <w:r>
                    <w:rPr>
                      <w:bCs/>
                      <w:szCs w:val="24"/>
                    </w:rPr>
                    <w:t>ir jį išdėstau taip</w:t>
                  </w:r>
                  <w:r>
                    <w:rPr>
                      <w:szCs w:val="24"/>
                    </w:rPr>
                    <w:t>:</w:t>
                  </w:r>
                </w:p>
                <w:sdt>
                  <w:sdtPr>
                    <w:alias w:val="citata"/>
                    <w:tag w:val="part_4d73d3fa95914692b217635901f29f0a"/>
                    <w:id w:val="-1894658199"/>
                    <w:lock w:val="sdtLocked"/>
                  </w:sdtPr>
                  <w:sdtEndPr/>
                  <w:sdtContent>
                    <w:sdt>
                      <w:sdtPr>
                        <w:alias w:val="10 p."/>
                        <w:tag w:val="part_7fad09f807a641ddbd26b1a58559207f"/>
                        <w:id w:val="675769851"/>
                        <w:lock w:val="sdtLocked"/>
                      </w:sdtPr>
                      <w:sdtEndPr/>
                      <w:sdtContent>
                        <w:p w14:paraId="2C520A68" w14:textId="77777777" w:rsidR="006E7235" w:rsidRDefault="0070131F">
                          <w:pPr>
                            <w:overflowPunct w:val="0"/>
                            <w:spacing w:line="360" w:lineRule="auto"/>
                            <w:ind w:firstLine="720"/>
                            <w:jc w:val="both"/>
                            <w:textAlignment w:val="baseline"/>
                            <w:rPr>
                              <w:b/>
                              <w:bCs/>
                              <w:szCs w:val="24"/>
                            </w:rPr>
                          </w:pPr>
                          <w:r>
                            <w:rPr>
                              <w:szCs w:val="24"/>
                            </w:rPr>
                            <w:t>„</w:t>
                          </w:r>
                          <w:sdt>
                            <w:sdtPr>
                              <w:alias w:val="Numeris"/>
                              <w:tag w:val="nr_7fad09f807a641ddbd26b1a58559207f"/>
                              <w:id w:val="-913003371"/>
                              <w:lock w:val="sdtLocked"/>
                            </w:sdtPr>
                            <w:sdtEndPr/>
                            <w:sdtContent>
                              <w:r>
                                <w:rPr>
                                  <w:szCs w:val="24"/>
                                </w:rPr>
                                <w:t>10</w:t>
                              </w:r>
                            </w:sdtContent>
                          </w:sdt>
                          <w:r>
                            <w:rPr>
                              <w:szCs w:val="24"/>
                            </w:rPr>
                            <w:t xml:space="preserve">. Pareiškėjai / paramos gavėjai, Agentūrai leidus, gali perleisti įsipareigojimus (likusiai įsipareigojimų laikotarpio </w:t>
                          </w:r>
                          <w:r>
                            <w:rPr>
                              <w:szCs w:val="24"/>
                            </w:rPr>
                            <w:t>daliai) kitam subjektui, jei įsipareigojimų perėmėjas raštu prisiima įsipareigojimus, žemės sklypą, kuriame veisiamas ar įveistas miškas, savo vardu įregistruoja Nekilnojamojo turto registre teisės aktų nustatyta tvarka ir</w:t>
                          </w:r>
                          <w:r>
                            <w:rPr>
                              <w:b/>
                              <w:bCs/>
                              <w:szCs w:val="24"/>
                            </w:rPr>
                            <w:t xml:space="preserve"> </w:t>
                          </w:r>
                          <w:r>
                            <w:rPr>
                              <w:szCs w:val="24"/>
                            </w:rPr>
                            <w:t>įregistruoja žemės ūkio valdą Lie</w:t>
                          </w:r>
                          <w:r>
                            <w:rPr>
                              <w:szCs w:val="24"/>
                            </w:rPr>
                            <w:t xml:space="preserve">tuvos Respublikos žemės ūkio ir kaimo verslo </w:t>
                          </w:r>
                          <w:r>
                            <w:t>registro informacinėje sistemoje</w:t>
                          </w:r>
                          <w:r>
                            <w:rPr>
                              <w:szCs w:val="24"/>
                            </w:rPr>
                            <w:t xml:space="preserve"> teisės aktų nustatyta tvarka.</w:t>
                          </w:r>
                          <w:r>
                            <w:rPr>
                              <w:b/>
                              <w:bCs/>
                              <w:szCs w:val="24"/>
                            </w:rPr>
                            <w:t xml:space="preserve"> </w:t>
                          </w:r>
                          <w:r>
                            <w:rPr>
                              <w:szCs w:val="24"/>
                            </w:rPr>
                            <w:t xml:space="preserve">Jeigu įsipareigojimai neperimami, paramos gavėjas privalo grąžinti suteiktą paramą.“ </w:t>
                          </w:r>
                        </w:p>
                      </w:sdtContent>
                    </w:sdt>
                  </w:sdtContent>
                </w:sdt>
              </w:sdtContent>
            </w:sdt>
            <w:sdt>
              <w:sdtPr>
                <w:alias w:val="1.3 pp."/>
                <w:tag w:val="part_0a22b9cbbdb94644af50e1737069ba09"/>
                <w:id w:val="-1125389177"/>
                <w:lock w:val="sdtLocked"/>
              </w:sdtPr>
              <w:sdtEndPr/>
              <w:sdtContent>
                <w:p w14:paraId="62660302" w14:textId="77777777" w:rsidR="006E7235" w:rsidRDefault="0070131F">
                  <w:pPr>
                    <w:overflowPunct w:val="0"/>
                    <w:spacing w:line="360" w:lineRule="auto"/>
                    <w:ind w:firstLine="720"/>
                    <w:jc w:val="both"/>
                    <w:textAlignment w:val="baseline"/>
                    <w:rPr>
                      <w:szCs w:val="24"/>
                    </w:rPr>
                  </w:pPr>
                  <w:sdt>
                    <w:sdtPr>
                      <w:alias w:val="Numeris"/>
                      <w:tag w:val="nr_0a22b9cbbdb94644af50e1737069ba09"/>
                      <w:id w:val="2105842927"/>
                      <w:lock w:val="sdtLocked"/>
                    </w:sdtPr>
                    <w:sdtEndPr/>
                    <w:sdtContent>
                      <w:r>
                        <w:rPr>
                          <w:szCs w:val="24"/>
                        </w:rPr>
                        <w:t>1.3</w:t>
                      </w:r>
                    </w:sdtContent>
                  </w:sdt>
                  <w:r>
                    <w:rPr>
                      <w:szCs w:val="24"/>
                    </w:rPr>
                    <w:t>. Pakeičiu 11</w:t>
                  </w:r>
                  <w:r>
                    <w:rPr>
                      <w:szCs w:val="24"/>
                      <w:lang w:eastAsia="lt-LT"/>
                    </w:rPr>
                    <w:t xml:space="preserve"> punktą </w:t>
                  </w:r>
                  <w:r>
                    <w:rPr>
                      <w:bCs/>
                      <w:szCs w:val="24"/>
                    </w:rPr>
                    <w:t>ir jį išdėstau taip</w:t>
                  </w:r>
                  <w:r>
                    <w:rPr>
                      <w:szCs w:val="24"/>
                    </w:rPr>
                    <w:t>:</w:t>
                  </w:r>
                </w:p>
                <w:sdt>
                  <w:sdtPr>
                    <w:alias w:val="citata"/>
                    <w:tag w:val="part_26c5793513854b69882f6aa1ca5477b9"/>
                    <w:id w:val="1380363156"/>
                    <w:lock w:val="sdtLocked"/>
                  </w:sdtPr>
                  <w:sdtEndPr/>
                  <w:sdtContent>
                    <w:sdt>
                      <w:sdtPr>
                        <w:alias w:val="11 p."/>
                        <w:tag w:val="part_f3288d4ac591486fa1904d377162f939"/>
                        <w:id w:val="-902062261"/>
                        <w:lock w:val="sdtLocked"/>
                      </w:sdtPr>
                      <w:sdtEndPr/>
                      <w:sdtContent>
                        <w:p w14:paraId="7E8E4BA6" w14:textId="77777777" w:rsidR="006E7235" w:rsidRDefault="0070131F">
                          <w:pPr>
                            <w:overflowPunct w:val="0"/>
                            <w:spacing w:line="360" w:lineRule="auto"/>
                            <w:ind w:firstLine="720"/>
                            <w:jc w:val="both"/>
                            <w:textAlignment w:val="baseline"/>
                            <w:rPr>
                              <w:szCs w:val="24"/>
                            </w:rPr>
                          </w:pPr>
                          <w:r>
                            <w:rPr>
                              <w:szCs w:val="24"/>
                            </w:rPr>
                            <w:t>„</w:t>
                          </w:r>
                          <w:sdt>
                            <w:sdtPr>
                              <w:alias w:val="Numeris"/>
                              <w:tag w:val="nr_f3288d4ac591486fa1904d377162f939"/>
                              <w:id w:val="-689062671"/>
                              <w:lock w:val="sdtLocked"/>
                            </w:sdtPr>
                            <w:sdtEndPr/>
                            <w:sdtContent>
                              <w:r>
                                <w:rPr>
                                  <w:szCs w:val="24"/>
                                </w:rPr>
                                <w:t>11</w:t>
                              </w:r>
                            </w:sdtContent>
                          </w:sdt>
                          <w:r>
                            <w:rPr>
                              <w:szCs w:val="24"/>
                            </w:rPr>
                            <w:t xml:space="preserve">. </w:t>
                          </w:r>
                          <w:r>
                            <w:rPr>
                              <w:szCs w:val="24"/>
                            </w:rPr>
                            <w:t>Pareiškėjui / paramos gavėjui mirus, nenugalimos jėgos (</w:t>
                          </w:r>
                          <w:r>
                            <w:rPr>
                              <w:i/>
                              <w:iCs/>
                              <w:szCs w:val="24"/>
                            </w:rPr>
                            <w:t>force majeure</w:t>
                          </w:r>
                          <w:r>
                            <w:rPr>
                              <w:szCs w:val="24"/>
                            </w:rPr>
                            <w:t>) arba išimtinių aplinkybių</w:t>
                          </w:r>
                          <w:r>
                            <w:rPr>
                              <w:b/>
                              <w:bCs/>
                              <w:szCs w:val="24"/>
                            </w:rPr>
                            <w:t xml:space="preserve"> </w:t>
                          </w:r>
                          <w:r>
                            <w:rPr>
                              <w:szCs w:val="24"/>
                            </w:rPr>
                            <w:t xml:space="preserve">atveju, dėl kurių paramos gavėjas negali vykdyti prisiimtų įsipareigojimų, įsipareigojimus gali perimti kitas subjektas. Tokiu atveju įsipareigojimų perėmėjas </w:t>
                          </w:r>
                          <w:r>
                            <w:rPr>
                              <w:szCs w:val="24"/>
                            </w:rPr>
                            <w:t xml:space="preserve">sklypą, kuriame veisiamas miškas, savo vardu įregistruoja Nekilnojamojo turto registre teisės aktų </w:t>
                          </w:r>
                          <w:r>
                            <w:rPr>
                              <w:szCs w:val="24"/>
                            </w:rPr>
                            <w:lastRenderedPageBreak/>
                            <w:t xml:space="preserve">nustatyta tvarka ir užregistruoja žemės ūkio valdą Lietuvos Respublikos žemės ūkio ir kaimo verslo </w:t>
                          </w:r>
                          <w:r>
                            <w:t>registro informacinėje sistemoje</w:t>
                          </w:r>
                          <w:r>
                            <w:rPr>
                              <w:szCs w:val="24"/>
                            </w:rPr>
                            <w:t xml:space="preserve"> teisės aktų nustatyta tva</w:t>
                          </w:r>
                          <w:r>
                            <w:rPr>
                              <w:szCs w:val="24"/>
                            </w:rPr>
                            <w:t>rka. Jei sklypas, kuriame veisiamas miškas, valdomas bendrosios dalinės nuosavybės teise ar bendrosios jungtinės nuosavybės teise, t. y. priklauso keliems bendraturčiams, įsipareigojimų perėmėjas turi pateikti notaro patvirtintą visų kitų bendraturčių suti</w:t>
                          </w:r>
                          <w:r>
                            <w:rPr>
                              <w:szCs w:val="24"/>
                            </w:rPr>
                            <w:t xml:space="preserve">kimą (įgaliojimą) (notaro patvirtinto įgaliojimo pateikti nereikia, kai įgaliotojas yra juridinis asmuo ir įgaliojimą patvirtina įmonės antspaudu ir vadovo parašu), kuriame išdėstomas sutikimas įveisti mišką jų žemės dalyje ir sutikimas leisti pareiškėjui </w:t>
                          </w:r>
                          <w:r>
                            <w:rPr>
                              <w:szCs w:val="24"/>
                            </w:rPr>
                            <w:t>/ paramos gavėjui vykdyti prisiimtus įsipareigojimus visą įsipareigojimų laikotarpį. Teisių ir įsipareigojimų perėmimas galimas tik suderinus su Agentūra.“</w:t>
                          </w:r>
                        </w:p>
                      </w:sdtContent>
                    </w:sdt>
                  </w:sdtContent>
                </w:sdt>
              </w:sdtContent>
            </w:sdt>
            <w:sdt>
              <w:sdtPr>
                <w:alias w:val="1.4 pp."/>
                <w:tag w:val="part_de2833cb65a6463d8474101ff4a4ad30"/>
                <w:id w:val="114485120"/>
                <w:lock w:val="sdtLocked"/>
              </w:sdtPr>
              <w:sdtEndPr/>
              <w:sdtContent>
                <w:p w14:paraId="33F91D09" w14:textId="77777777" w:rsidR="006E7235" w:rsidRDefault="0070131F">
                  <w:pPr>
                    <w:overflowPunct w:val="0"/>
                    <w:spacing w:line="360" w:lineRule="auto"/>
                    <w:ind w:firstLine="720"/>
                    <w:jc w:val="both"/>
                    <w:textAlignment w:val="baseline"/>
                    <w:rPr>
                      <w:szCs w:val="24"/>
                    </w:rPr>
                  </w:pPr>
                  <w:sdt>
                    <w:sdtPr>
                      <w:alias w:val="Numeris"/>
                      <w:tag w:val="nr_de2833cb65a6463d8474101ff4a4ad30"/>
                      <w:id w:val="1987980346"/>
                      <w:lock w:val="sdtLocked"/>
                    </w:sdtPr>
                    <w:sdtEndPr/>
                    <w:sdtContent>
                      <w:r>
                        <w:rPr>
                          <w:szCs w:val="24"/>
                        </w:rPr>
                        <w:t>1.4</w:t>
                      </w:r>
                    </w:sdtContent>
                  </w:sdt>
                  <w:r>
                    <w:rPr>
                      <w:szCs w:val="24"/>
                    </w:rPr>
                    <w:t>. Pakeičiu 35</w:t>
                  </w:r>
                  <w:r>
                    <w:rPr>
                      <w:szCs w:val="24"/>
                      <w:lang w:eastAsia="lt-LT"/>
                    </w:rPr>
                    <w:t xml:space="preserve"> punktą </w:t>
                  </w:r>
                  <w:r>
                    <w:rPr>
                      <w:bCs/>
                      <w:szCs w:val="24"/>
                    </w:rPr>
                    <w:t>ir jį išdėstau taip</w:t>
                  </w:r>
                  <w:r>
                    <w:rPr>
                      <w:szCs w:val="24"/>
                    </w:rPr>
                    <w:t>:</w:t>
                  </w:r>
                </w:p>
                <w:sdt>
                  <w:sdtPr>
                    <w:alias w:val="citata"/>
                    <w:tag w:val="part_b0cc3697430047a39399884cfe30c435"/>
                    <w:id w:val="627133834"/>
                    <w:lock w:val="sdtLocked"/>
                  </w:sdtPr>
                  <w:sdtEndPr/>
                  <w:sdtContent>
                    <w:sdt>
                      <w:sdtPr>
                        <w:alias w:val="35 p."/>
                        <w:tag w:val="part_f3e9ebda5cd642c79ffceb47efe83de1"/>
                        <w:id w:val="1254243021"/>
                        <w:lock w:val="sdtLocked"/>
                      </w:sdtPr>
                      <w:sdtEndPr/>
                      <w:sdtContent>
                        <w:p w14:paraId="76DBB450" w14:textId="77777777" w:rsidR="006E7235" w:rsidRDefault="0070131F">
                          <w:pPr>
                            <w:suppressAutoHyphens/>
                            <w:overflowPunct w:val="0"/>
                            <w:spacing w:line="360" w:lineRule="auto"/>
                            <w:ind w:firstLine="720"/>
                            <w:jc w:val="both"/>
                            <w:textAlignment w:val="center"/>
                            <w:rPr>
                              <w:szCs w:val="24"/>
                            </w:rPr>
                          </w:pPr>
                          <w:r>
                            <w:rPr>
                              <w:szCs w:val="24"/>
                            </w:rPr>
                            <w:t>„</w:t>
                          </w:r>
                          <w:sdt>
                            <w:sdtPr>
                              <w:alias w:val="Numeris"/>
                              <w:tag w:val="nr_f3e9ebda5cd642c79ffceb47efe83de1"/>
                              <w:id w:val="-311940957"/>
                              <w:lock w:val="sdtLocked"/>
                            </w:sdtPr>
                            <w:sdtEndPr/>
                            <w:sdtContent>
                              <w:r>
                                <w:rPr>
                                  <w:szCs w:val="24"/>
                                </w:rPr>
                                <w:t>35</w:t>
                              </w:r>
                            </w:sdtContent>
                          </w:sdt>
                          <w:r>
                            <w:rPr>
                              <w:szCs w:val="24"/>
                            </w:rPr>
                            <w:t>. Paramos gavėjas, gaunantis miško priežiū</w:t>
                          </w:r>
                          <w:r>
                            <w:rPr>
                              <w:szCs w:val="24"/>
                            </w:rPr>
                            <w:t xml:space="preserve">ros, apsaugos ir ugdymo išmokas, visoje valdoje privalo </w:t>
                          </w:r>
                          <w:r>
                            <w:t>laikytis paramos sąlygų, kurios apima Žemės ūkio veiklos valdymo reikalavimus, patvirtintus Lietuvos Respublikos žemės ūkio ministro 2023 m. vasario 27 d. įsakymu Nr. 3D-109 „Dėl Žemės ūkio veiklos va</w:t>
                          </w:r>
                          <w:r>
                            <w:t>ldymo reikalavimų, taikomų nuo 2023 metų, aprašo patvirtinimo ir kontrolės institucijų paskyrimo“, ir Geros agrarinės ir aplinkosaugos būklės reikalavimus, patvirtintus Lietuvos Respublikos žemės ūkio ministro 2023 m. vasario 24 d. įsakymu Nr. 3D-107 „Dėl </w:t>
                          </w:r>
                          <w:r>
                            <w:t>Žemės ūkio naudmenų geros agrarinės ir aplinkosaugos būklės reikalavimų, taikomų nuo 2023 metų, aprašo patvirtinimo“;</w:t>
                          </w:r>
                          <w:r>
                            <w:rPr>
                              <w:szCs w:val="24"/>
                            </w:rPr>
                            <w:t xml:space="preserve">“. </w:t>
                          </w:r>
                        </w:p>
                      </w:sdtContent>
                    </w:sdt>
                  </w:sdtContent>
                </w:sdt>
              </w:sdtContent>
            </w:sdt>
            <w:sdt>
              <w:sdtPr>
                <w:alias w:val="1.5 pp."/>
                <w:tag w:val="part_9ecffae0d20c46969e61aaf16ff27f3b"/>
                <w:id w:val="1203211948"/>
                <w:lock w:val="sdtLocked"/>
              </w:sdtPr>
              <w:sdtEndPr/>
              <w:sdtContent>
                <w:p w14:paraId="65A15D4B" w14:textId="77777777" w:rsidR="006E7235" w:rsidRDefault="0070131F">
                  <w:pPr>
                    <w:suppressAutoHyphens/>
                    <w:overflowPunct w:val="0"/>
                    <w:spacing w:line="360" w:lineRule="auto"/>
                    <w:ind w:firstLine="720"/>
                    <w:jc w:val="both"/>
                    <w:textAlignment w:val="center"/>
                    <w:rPr>
                      <w:bCs/>
                      <w:szCs w:val="24"/>
                    </w:rPr>
                  </w:pPr>
                  <w:sdt>
                    <w:sdtPr>
                      <w:alias w:val="Numeris"/>
                      <w:tag w:val="nr_9ecffae0d20c46969e61aaf16ff27f3b"/>
                      <w:id w:val="-1814103145"/>
                      <w:lock w:val="sdtLocked"/>
                    </w:sdtPr>
                    <w:sdtEndPr/>
                    <w:sdtContent>
                      <w:r>
                        <w:rPr>
                          <w:szCs w:val="24"/>
                        </w:rPr>
                        <w:t>1.5</w:t>
                      </w:r>
                    </w:sdtContent>
                  </w:sdt>
                  <w:r>
                    <w:rPr>
                      <w:szCs w:val="24"/>
                    </w:rPr>
                    <w:t xml:space="preserve">. </w:t>
                  </w:r>
                  <w:r>
                    <w:rPr>
                      <w:bCs/>
                      <w:szCs w:val="24"/>
                    </w:rPr>
                    <w:t>Papildau 59</w:t>
                  </w:r>
                  <w:r>
                    <w:rPr>
                      <w:bCs/>
                      <w:szCs w:val="24"/>
                      <w:vertAlign w:val="superscript"/>
                    </w:rPr>
                    <w:t>1</w:t>
                  </w:r>
                  <w:r>
                    <w:rPr>
                      <w:bCs/>
                      <w:szCs w:val="24"/>
                    </w:rPr>
                    <w:t xml:space="preserve"> ir 59</w:t>
                  </w:r>
                  <w:r>
                    <w:rPr>
                      <w:bCs/>
                      <w:szCs w:val="24"/>
                      <w:vertAlign w:val="superscript"/>
                    </w:rPr>
                    <w:t xml:space="preserve">2 </w:t>
                  </w:r>
                  <w:r>
                    <w:rPr>
                      <w:bCs/>
                      <w:szCs w:val="24"/>
                    </w:rPr>
                    <w:t>punktais:</w:t>
                  </w:r>
                </w:p>
                <w:sdt>
                  <w:sdtPr>
                    <w:alias w:val="citata"/>
                    <w:tag w:val="part_24a80270994a44b1acf409811b0c9964"/>
                    <w:id w:val="-357270916"/>
                    <w:lock w:val="sdtLocked"/>
                  </w:sdtPr>
                  <w:sdtEndPr/>
                  <w:sdtContent>
                    <w:sdt>
                      <w:sdtPr>
                        <w:alias w:val="59-1 p."/>
                        <w:tag w:val="part_769c321a143a456294c2aad3fad70242"/>
                        <w:id w:val="-925109784"/>
                        <w:lock w:val="sdtLocked"/>
                      </w:sdtPr>
                      <w:sdtEndPr/>
                      <w:sdtContent>
                        <w:p w14:paraId="7A84E660" w14:textId="77777777" w:rsidR="006E7235" w:rsidRDefault="0070131F">
                          <w:pPr>
                            <w:suppressAutoHyphens/>
                            <w:overflowPunct w:val="0"/>
                            <w:spacing w:line="360" w:lineRule="auto"/>
                            <w:ind w:firstLine="720"/>
                            <w:jc w:val="both"/>
                            <w:textAlignment w:val="center"/>
                            <w:rPr>
                              <w:bCs/>
                              <w:szCs w:val="24"/>
                            </w:rPr>
                          </w:pPr>
                          <w:r>
                            <w:rPr>
                              <w:bCs/>
                              <w:szCs w:val="24"/>
                            </w:rPr>
                            <w:t>„</w:t>
                          </w:r>
                          <w:sdt>
                            <w:sdtPr>
                              <w:alias w:val="Numeris"/>
                              <w:tag w:val="nr_769c321a143a456294c2aad3fad70242"/>
                              <w:id w:val="788316106"/>
                              <w:lock w:val="sdtLocked"/>
                            </w:sdtPr>
                            <w:sdtEndPr/>
                            <w:sdtContent>
                              <w:r>
                                <w:rPr>
                                  <w:bCs/>
                                  <w:szCs w:val="24"/>
                                </w:rPr>
                                <w:t>59</w:t>
                              </w:r>
                              <w:r>
                                <w:rPr>
                                  <w:bCs/>
                                  <w:szCs w:val="24"/>
                                  <w:vertAlign w:val="superscript"/>
                                </w:rPr>
                                <w:t>1</w:t>
                              </w:r>
                            </w:sdtContent>
                          </w:sdt>
                          <w:r>
                            <w:rPr>
                              <w:bCs/>
                              <w:szCs w:val="24"/>
                            </w:rPr>
                            <w:t>. Išmokos mokamos pagal regionams taikomas Europos žemės ūkio fondo kaimo plėtrai (tol</w:t>
                          </w:r>
                          <w:r>
                            <w:rPr>
                              <w:bCs/>
                              <w:szCs w:val="24"/>
                            </w:rPr>
                            <w:t>iau – EŽŪFKP) ir bendrojo finansavimo įnašo normas:</w:t>
                          </w:r>
                        </w:p>
                        <w:sdt>
                          <w:sdtPr>
                            <w:alias w:val="59-1.1 pp."/>
                            <w:tag w:val="part_8e24b7c2b7ff43768e4efd6f688b6a68"/>
                            <w:id w:val="1847744633"/>
                            <w:lock w:val="sdtLocked"/>
                          </w:sdtPr>
                          <w:sdtEndPr/>
                          <w:sdtContent>
                            <w:p w14:paraId="5786F2CD" w14:textId="77777777" w:rsidR="006E7235" w:rsidRDefault="0070131F">
                              <w:pPr>
                                <w:suppressAutoHyphens/>
                                <w:overflowPunct w:val="0"/>
                                <w:spacing w:line="360" w:lineRule="auto"/>
                                <w:ind w:firstLine="720"/>
                                <w:jc w:val="both"/>
                                <w:textAlignment w:val="center"/>
                                <w:rPr>
                                  <w:bCs/>
                                  <w:szCs w:val="24"/>
                                </w:rPr>
                              </w:pPr>
                              <w:sdt>
                                <w:sdtPr>
                                  <w:alias w:val="Numeris"/>
                                  <w:tag w:val="nr_8e24b7c2b7ff43768e4efd6f688b6a68"/>
                                  <w:id w:val="158969710"/>
                                  <w:lock w:val="sdtLocked"/>
                                </w:sdtPr>
                                <w:sdtEndPr/>
                                <w:sdtContent>
                                  <w:r>
                                    <w:rPr>
                                      <w:bCs/>
                                      <w:szCs w:val="24"/>
                                    </w:rPr>
                                    <w:t>59</w:t>
                                  </w:r>
                                  <w:r>
                                    <w:rPr>
                                      <w:bCs/>
                                      <w:szCs w:val="24"/>
                                      <w:vertAlign w:val="superscript"/>
                                    </w:rPr>
                                    <w:t>1</w:t>
                                  </w:r>
                                  <w:r>
                                    <w:rPr>
                                      <w:bCs/>
                                      <w:szCs w:val="24"/>
                                    </w:rPr>
                                    <w:t>.1</w:t>
                                  </w:r>
                                </w:sdtContent>
                              </w:sdt>
                              <w:r>
                                <w:rPr>
                                  <w:bCs/>
                                  <w:szCs w:val="24"/>
                                </w:rPr>
                                <w:t>. Sostinės regionui taikoma 80 proc. EŽŪFKP įnašo norma;</w:t>
                              </w:r>
                            </w:p>
                          </w:sdtContent>
                        </w:sdt>
                        <w:sdt>
                          <w:sdtPr>
                            <w:alias w:val="59-1.2 pp."/>
                            <w:tag w:val="part_40f1ff08bb7c49cd88b8d74f1ff9dd97"/>
                            <w:id w:val="-707786975"/>
                            <w:lock w:val="sdtLocked"/>
                          </w:sdtPr>
                          <w:sdtEndPr/>
                          <w:sdtContent>
                            <w:p w14:paraId="6F1D7B1C" w14:textId="77777777" w:rsidR="006E7235" w:rsidRDefault="0070131F">
                              <w:pPr>
                                <w:suppressAutoHyphens/>
                                <w:overflowPunct w:val="0"/>
                                <w:spacing w:line="360" w:lineRule="auto"/>
                                <w:ind w:firstLine="720"/>
                                <w:jc w:val="both"/>
                                <w:textAlignment w:val="center"/>
                                <w:rPr>
                                  <w:bCs/>
                                  <w:szCs w:val="24"/>
                                </w:rPr>
                              </w:pPr>
                              <w:sdt>
                                <w:sdtPr>
                                  <w:alias w:val="Numeris"/>
                                  <w:tag w:val="nr_40f1ff08bb7c49cd88b8d74f1ff9dd97"/>
                                  <w:id w:val="1961141567"/>
                                  <w:lock w:val="sdtLocked"/>
                                </w:sdtPr>
                                <w:sdtEndPr/>
                                <w:sdtContent>
                                  <w:r>
                                    <w:rPr>
                                      <w:bCs/>
                                      <w:szCs w:val="24"/>
                                    </w:rPr>
                                    <w:t>59</w:t>
                                  </w:r>
                                  <w:r>
                                    <w:rPr>
                                      <w:bCs/>
                                      <w:szCs w:val="24"/>
                                      <w:vertAlign w:val="superscript"/>
                                    </w:rPr>
                                    <w:t>1</w:t>
                                  </w:r>
                                  <w:r>
                                    <w:rPr>
                                      <w:bCs/>
                                      <w:szCs w:val="24"/>
                                    </w:rPr>
                                    <w:t>.2</w:t>
                                  </w:r>
                                </w:sdtContent>
                              </w:sdt>
                              <w:r>
                                <w:rPr>
                                  <w:bCs/>
                                  <w:szCs w:val="24"/>
                                </w:rPr>
                                <w:t>. Vidurio ir vakarų Lietuvos regionui taikoma 85 proc. EŽŪFKP įnašo norma.</w:t>
                              </w:r>
                            </w:p>
                          </w:sdtContent>
                        </w:sdt>
                      </w:sdtContent>
                    </w:sdt>
                    <w:sdt>
                      <w:sdtPr>
                        <w:alias w:val="59-2 p."/>
                        <w:tag w:val="part_a1e4da8fb7eb423db0739f0dee0834b0"/>
                        <w:id w:val="682715588"/>
                        <w:lock w:val="sdtLocked"/>
                      </w:sdtPr>
                      <w:sdtEndPr/>
                      <w:sdtContent>
                        <w:p w14:paraId="5908DCCD" w14:textId="77777777" w:rsidR="006E7235" w:rsidRDefault="0070131F">
                          <w:pPr>
                            <w:suppressAutoHyphens/>
                            <w:overflowPunct w:val="0"/>
                            <w:spacing w:line="360" w:lineRule="auto"/>
                            <w:ind w:firstLine="720"/>
                            <w:jc w:val="both"/>
                            <w:textAlignment w:val="center"/>
                            <w:rPr>
                              <w:bCs/>
                              <w:szCs w:val="24"/>
                            </w:rPr>
                          </w:pPr>
                          <w:sdt>
                            <w:sdtPr>
                              <w:alias w:val="Numeris"/>
                              <w:tag w:val="nr_a1e4da8fb7eb423db0739f0dee0834b0"/>
                              <w:id w:val="-1380543882"/>
                              <w:lock w:val="sdtLocked"/>
                            </w:sdtPr>
                            <w:sdtEndPr/>
                            <w:sdtContent>
                              <w:r>
                                <w:rPr>
                                  <w:bCs/>
                                  <w:szCs w:val="24"/>
                                </w:rPr>
                                <w:t>59</w:t>
                              </w:r>
                              <w:r>
                                <w:rPr>
                                  <w:bCs/>
                                  <w:szCs w:val="24"/>
                                  <w:vertAlign w:val="superscript"/>
                                </w:rPr>
                                <w:t>2</w:t>
                              </w:r>
                            </w:sdtContent>
                          </w:sdt>
                          <w:r>
                            <w:rPr>
                              <w:bCs/>
                              <w:szCs w:val="24"/>
                            </w:rPr>
                            <w:t xml:space="preserve">. Priemonės veiklos sričiai taikomas projekto </w:t>
                          </w:r>
                          <w:r>
                            <w:rPr>
                              <w:bCs/>
                              <w:szCs w:val="24"/>
                            </w:rPr>
                            <w:t>priskyrimo regionams principas – pagal projekto įgyvendinimo vietą (tuo atveju, jeigu projektas įgyvendinamas abiejuose regionuose, priskiriama tam regionui, kuriame yra didžioji dalis veisiamo miško plotų).“</w:t>
                          </w:r>
                        </w:p>
                      </w:sdtContent>
                    </w:sdt>
                  </w:sdtContent>
                </w:sdt>
              </w:sdtContent>
            </w:sdt>
            <w:sdt>
              <w:sdtPr>
                <w:alias w:val="1.6 pp."/>
                <w:tag w:val="part_081a653338a448179245e764f92c7418"/>
                <w:id w:val="2038225246"/>
                <w:lock w:val="sdtLocked"/>
              </w:sdtPr>
              <w:sdtEndPr/>
              <w:sdtContent>
                <w:p w14:paraId="440B9996" w14:textId="77777777" w:rsidR="006E7235" w:rsidRDefault="0070131F">
                  <w:pPr>
                    <w:overflowPunct w:val="0"/>
                    <w:spacing w:line="360" w:lineRule="auto"/>
                    <w:ind w:firstLine="720"/>
                    <w:jc w:val="both"/>
                    <w:textAlignment w:val="baseline"/>
                    <w:rPr>
                      <w:szCs w:val="24"/>
                    </w:rPr>
                  </w:pPr>
                  <w:sdt>
                    <w:sdtPr>
                      <w:alias w:val="Numeris"/>
                      <w:tag w:val="nr_081a653338a448179245e764f92c7418"/>
                      <w:id w:val="-1149667781"/>
                      <w:lock w:val="sdtLocked"/>
                    </w:sdtPr>
                    <w:sdtEndPr/>
                    <w:sdtContent>
                      <w:r>
                        <w:rPr>
                          <w:szCs w:val="24"/>
                        </w:rPr>
                        <w:t>1.6</w:t>
                      </w:r>
                    </w:sdtContent>
                  </w:sdt>
                  <w:r>
                    <w:rPr>
                      <w:szCs w:val="24"/>
                    </w:rPr>
                    <w:t>. Pakeičiu 79</w:t>
                  </w:r>
                  <w:r>
                    <w:rPr>
                      <w:szCs w:val="24"/>
                      <w:lang w:eastAsia="lt-LT"/>
                    </w:rPr>
                    <w:t xml:space="preserve"> punktą </w:t>
                  </w:r>
                  <w:r>
                    <w:rPr>
                      <w:szCs w:val="24"/>
                    </w:rPr>
                    <w:t xml:space="preserve">ir jį išdėstau </w:t>
                  </w:r>
                  <w:r>
                    <w:rPr>
                      <w:szCs w:val="24"/>
                    </w:rPr>
                    <w:t>taip:</w:t>
                  </w:r>
                </w:p>
                <w:sdt>
                  <w:sdtPr>
                    <w:alias w:val="citata"/>
                    <w:tag w:val="part_35f0b7e21aa841549d4ef1411dbc7b7b"/>
                    <w:id w:val="1087196491"/>
                    <w:lock w:val="sdtLocked"/>
                  </w:sdtPr>
                  <w:sdtEndPr/>
                  <w:sdtContent>
                    <w:sdt>
                      <w:sdtPr>
                        <w:alias w:val="79 p."/>
                        <w:tag w:val="part_39c7bad3341e4b2c863c75f8f87fc822"/>
                        <w:id w:val="-214738677"/>
                        <w:lock w:val="sdtLocked"/>
                      </w:sdtPr>
                      <w:sdtEndPr/>
                      <w:sdtContent>
                        <w:p w14:paraId="0C0FE5AA" w14:textId="77777777" w:rsidR="006E7235" w:rsidRDefault="0070131F">
                          <w:pPr>
                            <w:suppressAutoHyphens/>
                            <w:overflowPunct w:val="0"/>
                            <w:spacing w:line="360" w:lineRule="auto"/>
                            <w:ind w:firstLine="720"/>
                            <w:jc w:val="both"/>
                            <w:textAlignment w:val="center"/>
                            <w:rPr>
                              <w:szCs w:val="24"/>
                            </w:rPr>
                          </w:pPr>
                          <w:r>
                            <w:rPr>
                              <w:szCs w:val="24"/>
                            </w:rPr>
                            <w:t>„</w:t>
                          </w:r>
                          <w:sdt>
                            <w:sdtPr>
                              <w:alias w:val="Numeris"/>
                              <w:tag w:val="nr_39c7bad3341e4b2c863c75f8f87fc822"/>
                              <w:id w:val="371275511"/>
                              <w:lock w:val="sdtLocked"/>
                            </w:sdtPr>
                            <w:sdtEndPr/>
                            <w:sdtContent>
                              <w:r>
                                <w:rPr>
                                  <w:szCs w:val="24"/>
                                </w:rPr>
                                <w:t>79</w:t>
                              </w:r>
                            </w:sdtContent>
                          </w:sdt>
                          <w:r>
                            <w:rPr>
                              <w:szCs w:val="24"/>
                            </w:rPr>
                            <w:t>. Sankcijos už p</w:t>
                          </w:r>
                          <w:r>
                            <w:t xml:space="preserve">aramos sąlygų reikalavimų pažeidimus, nurodytus Taisyklių 35 punkte, skaičiuojamos </w:t>
                          </w:r>
                          <w:r>
                            <w:rPr>
                              <w:szCs w:val="24"/>
                            </w:rPr>
                            <w:t>pagal Sankcijų už paramos sąlygų pažeidimą taikymo metodiką, patvirtintą Lietuvos Respublikos žemės ūkio</w:t>
                          </w:r>
                          <w:bookmarkStart w:id="0" w:name="_GoBack"/>
                          <w:bookmarkEnd w:id="0"/>
                          <w:r>
                            <w:rPr>
                              <w:szCs w:val="24"/>
                            </w:rPr>
                            <w:t xml:space="preserve"> ministro 2023 m. balandžio 7 d. įsakymu N</w:t>
                          </w:r>
                          <w:r>
                            <w:rPr>
                              <w:szCs w:val="24"/>
                            </w:rPr>
                            <w:t>r. 3D-232 „Dėl Sankcijų už paramos sąlygų reikalavimų pažeidimą taikymo metodikos patvirtinimo“.“</w:t>
                          </w:r>
                        </w:p>
                      </w:sdtContent>
                    </w:sdt>
                  </w:sdtContent>
                </w:sdt>
              </w:sdtContent>
            </w:sdt>
          </w:sdtContent>
        </w:sdt>
        <w:sdt>
          <w:sdtPr>
            <w:alias w:val="2 p."/>
            <w:tag w:val="part_c527b44e12344544af30bd7fff664746"/>
            <w:id w:val="-963498470"/>
            <w:lock w:val="sdtLocked"/>
          </w:sdtPr>
          <w:sdtEndPr/>
          <w:sdtContent>
            <w:p w14:paraId="713097BE" w14:textId="1552C04A" w:rsidR="006E7235" w:rsidRDefault="0070131F" w:rsidP="0070131F">
              <w:pPr>
                <w:tabs>
                  <w:tab w:val="left" w:pos="851"/>
                  <w:tab w:val="left" w:pos="1276"/>
                </w:tabs>
                <w:overflowPunct w:val="0"/>
                <w:spacing w:line="360" w:lineRule="auto"/>
                <w:ind w:firstLine="720"/>
                <w:jc w:val="both"/>
                <w:textAlignment w:val="baseline"/>
              </w:pPr>
              <w:sdt>
                <w:sdtPr>
                  <w:alias w:val="Numeris"/>
                  <w:tag w:val="nr_c527b44e12344544af30bd7fff664746"/>
                  <w:id w:val="1605610435"/>
                  <w:lock w:val="sdtLocked"/>
                </w:sdtPr>
                <w:sdtEndPr/>
                <w:sdtContent>
                  <w:r>
                    <w:rPr>
                      <w:szCs w:val="24"/>
                    </w:rPr>
                    <w:t>2</w:t>
                  </w:r>
                </w:sdtContent>
              </w:sdt>
              <w:r>
                <w:rPr>
                  <w:szCs w:val="24"/>
                </w:rPr>
                <w:t>. N u s t a t a u, kad šio įsakymo 1.4</w:t>
              </w:r>
              <w:r>
                <w:rPr>
                  <w:bCs/>
                  <w:szCs w:val="24"/>
                </w:rPr>
                <w:t>–</w:t>
              </w:r>
              <w:r>
                <w:rPr>
                  <w:szCs w:val="24"/>
                </w:rPr>
                <w:t>1.6 papunkčiai įsigalioja 2026 m. sausio 1 d.</w:t>
              </w:r>
            </w:p>
          </w:sdtContent>
        </w:sdt>
        <w:sdt>
          <w:sdtPr>
            <w:alias w:val="signatura"/>
            <w:tag w:val="part_3116f4bf8145448f8893d0cdb2a999ac"/>
            <w:id w:val="-535655137"/>
            <w:lock w:val="sdtLocked"/>
          </w:sdtPr>
          <w:sdtEndPr/>
          <w:sdtContent>
            <w:p w14:paraId="6F965F18" w14:textId="77777777" w:rsidR="0070131F" w:rsidRDefault="0070131F" w:rsidP="0070131F">
              <w:pPr>
                <w:tabs>
                  <w:tab w:val="left" w:pos="7513"/>
                </w:tabs>
                <w:overflowPunct w:val="0"/>
                <w:textAlignment w:val="baseline"/>
              </w:pPr>
            </w:p>
            <w:p w14:paraId="2B2CEF47" w14:textId="77777777" w:rsidR="0070131F" w:rsidRDefault="0070131F" w:rsidP="0070131F">
              <w:pPr>
                <w:tabs>
                  <w:tab w:val="left" w:pos="7513"/>
                </w:tabs>
                <w:overflowPunct w:val="0"/>
                <w:textAlignment w:val="baseline"/>
              </w:pPr>
            </w:p>
            <w:p w14:paraId="5279D3E3" w14:textId="77777777" w:rsidR="0070131F" w:rsidRDefault="0070131F" w:rsidP="0070131F">
              <w:pPr>
                <w:tabs>
                  <w:tab w:val="left" w:pos="7513"/>
                </w:tabs>
                <w:overflowPunct w:val="0"/>
                <w:textAlignment w:val="baseline"/>
              </w:pPr>
            </w:p>
            <w:p w14:paraId="6C03A061" w14:textId="43453E75" w:rsidR="006E7235" w:rsidRDefault="0070131F" w:rsidP="0070131F">
              <w:pPr>
                <w:tabs>
                  <w:tab w:val="left" w:pos="7513"/>
                </w:tabs>
                <w:overflowPunct w:val="0"/>
                <w:textAlignment w:val="baseline"/>
              </w:pPr>
              <w:r>
                <w:t>Žemės ūkio ministras</w:t>
              </w:r>
              <w:r>
                <w:tab/>
                <w:t>Andrius Palionis</w:t>
              </w:r>
            </w:p>
          </w:sdtContent>
        </w:sdt>
      </w:sdtContent>
    </w:sdt>
    <w:sectPr w:rsidR="006E7235">
      <w:headerReference w:type="even" r:id="rId28"/>
      <w:headerReference w:type="default" r:id="rId29"/>
      <w:footerReference w:type="even" r:id="rId30"/>
      <w:footerReference w:type="default" r:id="rId31"/>
      <w:headerReference w:type="first" r:id="rId32"/>
      <w:footerReference w:type="first" r:id="rId33"/>
      <w:pgSz w:w="11907" w:h="16840" w:code="9"/>
      <w:pgMar w:top="1134" w:right="851"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70635D" w14:textId="77777777" w:rsidR="006E7235" w:rsidRDefault="0070131F">
      <w:pPr>
        <w:overflowPunct w:val="0"/>
        <w:jc w:val="both"/>
        <w:textAlignment w:val="baseline"/>
        <w:rPr>
          <w:lang w:val="en-GB"/>
        </w:rPr>
      </w:pPr>
      <w:r>
        <w:rPr>
          <w:lang w:val="en-GB"/>
        </w:rPr>
        <w:separator/>
      </w:r>
    </w:p>
  </w:endnote>
  <w:endnote w:type="continuationSeparator" w:id="0">
    <w:p w14:paraId="5EF08173" w14:textId="77777777" w:rsidR="006E7235" w:rsidRDefault="0070131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555B6" w14:textId="77777777" w:rsidR="006E7235" w:rsidRDefault="006E723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5C08B" w14:textId="77777777" w:rsidR="006E7235" w:rsidRDefault="006E723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3DC3D" w14:textId="77777777" w:rsidR="006E7235" w:rsidRDefault="006E723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EDF610" w14:textId="77777777" w:rsidR="006E7235" w:rsidRDefault="0070131F">
      <w:pPr>
        <w:overflowPunct w:val="0"/>
        <w:jc w:val="both"/>
        <w:textAlignment w:val="baseline"/>
        <w:rPr>
          <w:lang w:val="en-GB"/>
        </w:rPr>
      </w:pPr>
      <w:r>
        <w:rPr>
          <w:lang w:val="en-GB"/>
        </w:rPr>
        <w:separator/>
      </w:r>
    </w:p>
  </w:footnote>
  <w:footnote w:type="continuationSeparator" w:id="0">
    <w:p w14:paraId="4678789E" w14:textId="77777777" w:rsidR="006E7235" w:rsidRDefault="0070131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82436" w14:textId="77777777" w:rsidR="006E7235" w:rsidRDefault="006E723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91ECC" w14:textId="00928E58" w:rsidR="006E7235" w:rsidRDefault="0070131F">
    <w:pPr>
      <w:tabs>
        <w:tab w:val="center" w:pos="4153"/>
        <w:tab w:val="right" w:pos="8306"/>
      </w:tabs>
      <w:overflowPunct w:val="0"/>
      <w:jc w:val="center"/>
      <w:textAlignment w:val="baseline"/>
      <w:rPr>
        <w:lang w:val="en-GB"/>
      </w:rPr>
    </w:pPr>
    <w:r>
      <w:rPr>
        <w:lang w:val="en-GB"/>
      </w:rPr>
      <w:fldChar w:fldCharType="begin"/>
    </w:r>
    <w:r>
      <w:rPr>
        <w:lang w:val="en-GB"/>
      </w:rPr>
      <w:instrText>PAGE   \* MERGEF</w:instrText>
    </w:r>
    <w:r>
      <w:rPr>
        <w:lang w:val="en-GB"/>
      </w:rPr>
      <w:instrText>ORMAT</w:instrText>
    </w:r>
    <w:r>
      <w:rPr>
        <w:lang w:val="en-GB"/>
      </w:rPr>
      <w:fldChar w:fldCharType="separate"/>
    </w:r>
    <w:r w:rsidRPr="0070131F">
      <w:rPr>
        <w:noProof/>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250CB" w14:textId="77777777" w:rsidR="006E7235" w:rsidRDefault="006E723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262"/>
    <w:rsid w:val="006E7235"/>
    <w:rsid w:val="0070131F"/>
    <w:rsid w:val="00D2726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D84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782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ur-lex.europa.eu/legal-content/LIT/TXT/?uri=CELEX:32014R0807&amp;locale=lt" TargetMode="External"/><Relationship Id="rId18" Type="http://schemas.openxmlformats.org/officeDocument/2006/relationships/hyperlink" Target="http://eur-lex.europa.eu/legal-content/LIT/TXT/?uri=CELEX:32013R1305&amp;locale=lt" TargetMode="External"/><Relationship Id="rId26" Type="http://schemas.openxmlformats.org/officeDocument/2006/relationships/hyperlink" Target="http://eur-lex.europa.eu/legal-content/LIT/TXT/?uri=CELEX:32023R2831&amp;locale=lt" TargetMode="External"/><Relationship Id="rId3" Type="http://schemas.openxmlformats.org/officeDocument/2006/relationships/styles" Target="styles.xml"/><Relationship Id="rId21" Type="http://schemas.openxmlformats.org/officeDocument/2006/relationships/hyperlink" Target="http://eur-lex.europa.eu/legal-content/LIT/TXT/?uri=CELEX:32013R1308&amp;locale=l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ur-lex.europa.eu/legal-content/LIT/TXT/?uri=CELEX:32013R1305&amp;locale=lt" TargetMode="External"/><Relationship Id="rId17" Type="http://schemas.openxmlformats.org/officeDocument/2006/relationships/hyperlink" Target="http://eur-lex.europa.eu/legal-content/LIT/TXT/?uri=CELEX:32020R2220&amp;locale=lt" TargetMode="External"/><Relationship Id="rId25" Type="http://schemas.openxmlformats.org/officeDocument/2006/relationships/hyperlink" Target="http://eur-lex.europa.eu/legal-content/LIT/TXT/?uri=CELEX:32013R1407&amp;locale=lt"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ur-lex.europa.eu/legal-content/LIT/TXT/?uri=CELEX:32006R1083&amp;locale=lt" TargetMode="External"/><Relationship Id="rId20" Type="http://schemas.openxmlformats.org/officeDocument/2006/relationships/hyperlink" Target="http://eur-lex.europa.eu/legal-content/LIT/TXT/?uri=CELEX:32013R1307&amp;locale=lt"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4R0808&amp;locale=lt" TargetMode="External"/><Relationship Id="rId24" Type="http://schemas.openxmlformats.org/officeDocument/2006/relationships/hyperlink" Target="http://eur-lex.europa.eu/legal-content/LIT/TXT/?uri=CELEX:32013R1307&amp;locale=lt"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eur-lex.europa.eu/legal-content/LIT/TXT/?uri=CELEX:32013R1303&amp;locale=lt" TargetMode="External"/><Relationship Id="rId23" Type="http://schemas.openxmlformats.org/officeDocument/2006/relationships/hyperlink" Target="http://eur-lex.europa.eu/legal-content/LIT/TXT/?uri=CELEX:32013R1305&amp;locale=lt" TargetMode="External"/><Relationship Id="rId28" Type="http://schemas.openxmlformats.org/officeDocument/2006/relationships/header" Target="header1.xml"/><Relationship Id="rId10" Type="http://schemas.openxmlformats.org/officeDocument/2006/relationships/hyperlink" Target="http://eur-lex.europa.eu/legal-content/LIT/TXT/?uri=CELEX:32005R1698&amp;locale=lt" TargetMode="External"/><Relationship Id="rId19" Type="http://schemas.openxmlformats.org/officeDocument/2006/relationships/hyperlink" Target="http://eur-lex.europa.eu/legal-content/LIT/TXT/?uri=CELEX:32013R1306&amp;locale=lt"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eur-lex.europa.eu/legal-content/LIT/TXT/?uri=CELEX:32013R1305&amp;locale=lt" TargetMode="External"/><Relationship Id="rId14" Type="http://schemas.openxmlformats.org/officeDocument/2006/relationships/hyperlink" Target="http://eur-lex.europa.eu/legal-content/LIT/TXT/?uri=CELEX:32013R1305&amp;locale=lt" TargetMode="External"/><Relationship Id="rId22" Type="http://schemas.openxmlformats.org/officeDocument/2006/relationships/hyperlink" Target="http://eur-lex.europa.eu/legal-content/LIT/TXT/?uri=CELEX:32115R2021&amp;locale=lt" TargetMode="External"/><Relationship Id="rId27" Type="http://schemas.openxmlformats.org/officeDocument/2006/relationships/hyperlink" Target="http://eur-lex.europa.eu/legal-content/LIT/TXT/?uri=CELEX:32023R2831&amp;locale=lt" TargetMode="External"/><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d8b7abe0d2945ca816e141f7185b45f" PartId="5c2054ab42bf4a23a376ae5d3d96421e">
    <Part Type="punktas" Nr="1" Abbr="1 p." DocPartId="cd5130031a2d473285e7b34cce919b7a" PartId="6198dd74123d46abb683c11b9c50ba24">
      <Part Type="papunktis" Nr="1.1" Abbr="1.1 pp." DocPartId="4858bf6b5abb404286348dcefc2e5d9f" PartId="7a39629d85b94de388b1df029d83e339">
        <Part Type="citata" DocPartId="0fa2142f49c443c4816e33e615442875" PartId="810915d2273c4d5e82e436fea0c4dea7">
          <Part Type="punktas" Nr="1" Abbr="1 p." DocPartId="1a1ed15c0eee41eeb574dabee2325a48" PartId="9d11cafd15014831a6b4803d0f755e45"/>
        </Part>
      </Part>
      <Part Type="papunktis" Nr="1.2" Abbr="1.2 pp." DocPartId="1911e65c7c714349be6c39445a30b457" PartId="d9a374049681458babb716c86b2b3029">
        <Part Type="citata" DocPartId="e6c63d4f83b542ac94993e2b1702e3f4" PartId="4d73d3fa95914692b217635901f29f0a">
          <Part Type="punktas" Nr="10" Abbr="10 p." DocPartId="72b269aea6ab4d7697de22ff772fdefe" PartId="7fad09f807a641ddbd26b1a58559207f"/>
        </Part>
      </Part>
      <Part Type="papunktis" Nr="1.3" Abbr="1.3 pp." DocPartId="45c7d842559d4ab9ac5a8824b836bf9e" PartId="0a22b9cbbdb94644af50e1737069ba09">
        <Part Type="citata" DocPartId="a737dfa0fbd64f91a3d6ceb4dbe7f58c" PartId="26c5793513854b69882f6aa1ca5477b9">
          <Part Type="punktas" Nr="11" Abbr="11 p." DocPartId="63a59c29f7d246fe8589ace122c75fb6" PartId="f3288d4ac591486fa1904d377162f939"/>
        </Part>
      </Part>
      <Part Type="papunktis" Nr="1.4" Abbr="1.4 pp." DocPartId="51b17671b132492f9e2c552c1902b736" PartId="de2833cb65a6463d8474101ff4a4ad30">
        <Part Type="citata" DocPartId="2d7c782ac72d478984802da9eab06c7f" PartId="b0cc3697430047a39399884cfe30c435">
          <Part Type="punktas" Nr="35" Abbr="35 p." DocPartId="11fd2c23372241caa145247b240a91b4" PartId="f3e9ebda5cd642c79ffceb47efe83de1"/>
        </Part>
      </Part>
      <Part Type="papunktis" Nr="1.5" Abbr="1.5 pp." DocPartId="f6a56dcf5da04a7daf9f344e03e02abb" PartId="9ecffae0d20c46969e61aaf16ff27f3b">
        <Part Type="citata" DocPartId="c6e756b43edb494db10c82f91c80bcdf" PartId="24a80270994a44b1acf409811b0c9964">
          <Part Type="punktas" Nr="59-1" Abbr="59-1 p." DocPartId="b4282552d3194c519a27f3aa03384623" PartId="769c321a143a456294c2aad3fad70242">
            <Part Type="papunktis" Nr="59-1.1" Abbr="59-1.1 pp." DocPartId="61ce1102ecca4d45bf6131793d9c276a" PartId="8e24b7c2b7ff43768e4efd6f688b6a68"/>
            <Part Type="papunktis" Nr="59-1.2" Abbr="59-1.2 pp." DocPartId="49c7e49cec934541aeefbd6eab639535" PartId="40f1ff08bb7c49cd88b8d74f1ff9dd97"/>
          </Part>
          <Part Type="punktas" Nr="59-2" Abbr="59-2 p." DocPartId="bca0a8278c3345319bf3b46d7815d430" PartId="a1e4da8fb7eb423db0739f0dee0834b0"/>
        </Part>
      </Part>
      <Part Type="papunktis" Nr="1.6" Abbr="1.6 pp." DocPartId="fd85031f8c024d78a9d7ab82dad2eebd" PartId="081a653338a448179245e764f92c7418">
        <Part Type="citata" DocPartId="955b9580464949229ed2bda40f025a02" PartId="35f0b7e21aa841549d4ef1411dbc7b7b">
          <Part Type="punktas" Nr="79" Abbr="79 p." DocPartId="79201b3ca6454c6caf6128f603330f6a" PartId="39c7bad3341e4b2c863c75f8f87fc822"/>
        </Part>
      </Part>
    </Part>
    <Part Type="punktas" Nr="2" Abbr="2 p." DocPartId="4aef619022934e59a48c217709b948b7" PartId="c527b44e12344544af30bd7fff664746"/>
    <Part Type="signatura" DocPartId="4fe0296fcfad4f8e843b97fc620d5a82" PartId="3116f4bf8145448f8893d0cdb2a999a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686AF4-39B7-4E6F-8B82-5F6571B95870}">
  <ds:schemaRefs>
    <ds:schemaRef ds:uri="http://lrs.lt/TAIS/DocParts"/>
  </ds:schemaRefs>
</ds:datastoreItem>
</file>

<file path=customXml/itemProps2.xml><?xml version="1.0" encoding="utf-8"?>
<ds:datastoreItem xmlns:ds="http://schemas.openxmlformats.org/officeDocument/2006/customXml" ds:itemID="{221C9C2E-DE69-4B82-B6B7-959F50CC4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1094</Words>
  <Characters>9014</Characters>
  <Application>Microsoft Office Word</Application>
  <DocSecurity>0</DocSecurity>
  <Lines>75</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10088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2025-12-18T13:08:00Z</dcterms:created>
  <dcterms:modified xsi:type="dcterms:W3CDTF">2025-12-18T13:13:00Z</dcterms:modified>
</cp:coreProperties>
</file>