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a5b2a0d6ed748a18efc94d3efe87196"/>
        <w:id w:val="1483730336"/>
        <w:lock w:val="sdtLocked"/>
      </w:sdtPr>
      <w:sdtEndPr/>
      <w:sdtContent>
        <w:p w:rsidR="00447762" w:rsidRDefault="00447762" w:rsidP="00D25B90">
          <w:pPr>
            <w:tabs>
              <w:tab w:val="center" w:pos="4819"/>
              <w:tab w:val="right" w:pos="9638"/>
            </w:tabs>
            <w:rPr>
              <w:sz w:val="14"/>
              <w:szCs w:val="14"/>
            </w:rPr>
          </w:pPr>
        </w:p>
        <w:p w:rsidR="00447762" w:rsidRDefault="00D25B90">
          <w:pPr>
            <w:jc w:val="center"/>
            <w:rPr>
              <w:b/>
              <w:bCs/>
              <w:caps/>
            </w:rPr>
          </w:pPr>
          <w:r>
            <w:rPr>
              <w:noProof/>
              <w:lang w:eastAsia="lt-LT"/>
            </w:rPr>
            <w:drawing>
              <wp:inline distT="0" distB="0" distL="0" distR="0" wp14:anchorId="5071BA39" wp14:editId="3601F712">
                <wp:extent cx="542290" cy="597535"/>
                <wp:effectExtent l="0" t="0" r="0" b="0"/>
                <wp:docPr id="2" name="Paveikslėlis 2"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A black and white logo of a knight on a horse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447762" w:rsidRDefault="00447762">
          <w:pPr>
            <w:rPr>
              <w:sz w:val="14"/>
              <w:szCs w:val="14"/>
            </w:rPr>
          </w:pPr>
        </w:p>
        <w:p w:rsidR="00447762" w:rsidRDefault="00D25B90">
          <w:pPr>
            <w:jc w:val="center"/>
            <w:rPr>
              <w:b/>
              <w:bCs/>
              <w:caps/>
            </w:rPr>
          </w:pPr>
          <w:r>
            <w:rPr>
              <w:b/>
              <w:bCs/>
              <w:caps/>
            </w:rPr>
            <w:t>LIETUVOS RESPUBLIKOS Ekonomikos ir inovacijų MINISTRAS</w:t>
          </w:r>
        </w:p>
        <w:p w:rsidR="00447762" w:rsidRDefault="00447762">
          <w:pPr>
            <w:jc w:val="center"/>
            <w:rPr>
              <w:b/>
              <w:caps/>
            </w:rPr>
          </w:pPr>
        </w:p>
        <w:p w:rsidR="00447762" w:rsidRDefault="00D25B90">
          <w:pPr>
            <w:tabs>
              <w:tab w:val="left" w:pos="3402"/>
              <w:tab w:val="left" w:pos="4110"/>
              <w:tab w:val="center" w:pos="5179"/>
            </w:tabs>
            <w:jc w:val="center"/>
            <w:rPr>
              <w:caps/>
              <w:szCs w:val="24"/>
            </w:rPr>
          </w:pPr>
          <w:r>
            <w:rPr>
              <w:b/>
              <w:caps/>
              <w:szCs w:val="24"/>
            </w:rPr>
            <w:t>įsakymas</w:t>
          </w:r>
        </w:p>
        <w:p w:rsidR="00447762" w:rsidRDefault="00D25B90">
          <w:pPr>
            <w:tabs>
              <w:tab w:val="left" w:pos="567"/>
              <w:tab w:val="left" w:pos="4678"/>
            </w:tabs>
            <w:jc w:val="center"/>
            <w:rPr>
              <w:b/>
              <w:caps/>
              <w:szCs w:val="24"/>
            </w:rPr>
          </w:pPr>
          <w:r>
            <w:rPr>
              <w:b/>
              <w:szCs w:val="24"/>
            </w:rPr>
            <w:t>DĖL EKONOMIKOS IR INOVACIJŲ MINISTRO</w:t>
          </w:r>
        </w:p>
        <w:p w:rsidR="00447762" w:rsidRDefault="00D25B90">
          <w:pPr>
            <w:tabs>
              <w:tab w:val="left" w:pos="567"/>
              <w:tab w:val="left" w:pos="4678"/>
            </w:tabs>
            <w:jc w:val="center"/>
            <w:rPr>
              <w:b/>
              <w:bCs/>
              <w:szCs w:val="24"/>
            </w:rPr>
          </w:pPr>
          <w:r>
            <w:rPr>
              <w:b/>
              <w:bCs/>
              <w:szCs w:val="24"/>
            </w:rPr>
            <w:t>2024 M. BALANDŽIO 18 D</w:t>
          </w:r>
          <w:r>
            <w:rPr>
              <w:b/>
              <w:szCs w:val="24"/>
            </w:rPr>
            <w:t>. ĮSAKYMO NR.</w:t>
          </w:r>
          <w:r>
            <w:rPr>
              <w:b/>
              <w:bCs/>
              <w:szCs w:val="24"/>
            </w:rPr>
            <w:t xml:space="preserve"> 4-212 „DĖL SKATINAMOSIOS FINANSINĖS PRIEMONĖS „POKYTIS“ SCHEMOS PATVIRTINIMO“</w:t>
          </w:r>
        </w:p>
        <w:p w:rsidR="00447762" w:rsidRDefault="00D25B90">
          <w:pPr>
            <w:tabs>
              <w:tab w:val="left" w:pos="567"/>
              <w:tab w:val="left" w:pos="4678"/>
            </w:tabs>
            <w:jc w:val="center"/>
            <w:rPr>
              <w:b/>
              <w:szCs w:val="24"/>
            </w:rPr>
          </w:pPr>
          <w:r>
            <w:rPr>
              <w:b/>
              <w:szCs w:val="24"/>
            </w:rPr>
            <w:t>PAKEITIMO</w:t>
          </w:r>
        </w:p>
        <w:p w:rsidR="00447762" w:rsidRDefault="00447762">
          <w:pPr>
            <w:tabs>
              <w:tab w:val="left" w:pos="567"/>
              <w:tab w:val="left" w:pos="4678"/>
            </w:tabs>
            <w:jc w:val="center"/>
            <w:rPr>
              <w:rFonts w:eastAsia="Calibri"/>
              <w:b/>
              <w:szCs w:val="24"/>
            </w:rPr>
          </w:pPr>
        </w:p>
        <w:p w:rsidR="00447762" w:rsidRPr="00D25B90" w:rsidRDefault="00D25B90">
          <w:pPr>
            <w:tabs>
              <w:tab w:val="left" w:pos="567"/>
              <w:tab w:val="left" w:pos="4678"/>
            </w:tabs>
            <w:jc w:val="center"/>
            <w:rPr>
              <w:rFonts w:eastAsia="Calibri"/>
              <w:szCs w:val="24"/>
            </w:rPr>
          </w:pPr>
          <w:r>
            <w:rPr>
              <w:rFonts w:eastAsia="Calibri"/>
              <w:szCs w:val="24"/>
            </w:rPr>
            <w:t xml:space="preserve">2025 m. gegužės </w:t>
          </w:r>
          <w:r>
            <w:rPr>
              <w:rFonts w:eastAsia="Calibri"/>
              <w:szCs w:val="24"/>
              <w:lang w:val="en-US"/>
            </w:rPr>
            <w:t>28 d.</w:t>
          </w:r>
          <w:r>
            <w:rPr>
              <w:rFonts w:eastAsia="Calibri"/>
              <w:szCs w:val="24"/>
            </w:rPr>
            <w:t xml:space="preserve"> Nr. </w:t>
          </w:r>
          <w:r w:rsidRPr="00D25B90">
            <w:rPr>
              <w:bCs/>
            </w:rPr>
            <w:t>4-256</w:t>
          </w:r>
        </w:p>
        <w:p w:rsidR="00447762" w:rsidRDefault="00D25B90">
          <w:pPr>
            <w:tabs>
              <w:tab w:val="left" w:pos="567"/>
              <w:tab w:val="left" w:pos="4678"/>
            </w:tabs>
            <w:jc w:val="center"/>
            <w:rPr>
              <w:rFonts w:eastAsia="Calibri"/>
              <w:szCs w:val="24"/>
            </w:rPr>
          </w:pPr>
          <w:r>
            <w:rPr>
              <w:rFonts w:eastAsia="Calibri"/>
              <w:szCs w:val="24"/>
            </w:rPr>
            <w:t>Vilnius</w:t>
          </w:r>
        </w:p>
        <w:p w:rsidR="00447762" w:rsidRDefault="00447762">
          <w:pPr>
            <w:tabs>
              <w:tab w:val="left" w:pos="567"/>
              <w:tab w:val="left" w:pos="4678"/>
            </w:tabs>
            <w:jc w:val="center"/>
            <w:rPr>
              <w:rFonts w:eastAsia="Calibri"/>
              <w:b/>
              <w:szCs w:val="24"/>
            </w:rPr>
          </w:pPr>
        </w:p>
        <w:sdt>
          <w:sdtPr>
            <w:alias w:val="1 p."/>
            <w:tag w:val="part_09a87480a004474891f9bf569ce874d0"/>
            <w:id w:val="-1769922329"/>
            <w:lock w:val="sdtLocked"/>
          </w:sdtPr>
          <w:sdtEndPr/>
          <w:sdtContent>
            <w:p w:rsidR="00447762" w:rsidRDefault="00D25B90">
              <w:pPr>
                <w:ind w:firstLine="720"/>
                <w:jc w:val="both"/>
                <w:rPr>
                  <w:color w:val="000000"/>
                  <w:szCs w:val="24"/>
                  <w:lang w:eastAsia="lt-LT"/>
                </w:rPr>
              </w:pPr>
              <w:sdt>
                <w:sdtPr>
                  <w:alias w:val="Numeris"/>
                  <w:tag w:val="nr_09a87480a004474891f9bf569ce874d0"/>
                  <w:id w:val="-1079909907"/>
                  <w:lock w:val="sdtLocked"/>
                </w:sdtPr>
                <w:sdtEndPr/>
                <w:sdtContent>
                  <w:r>
                    <w:rPr>
                      <w:color w:val="000000"/>
                      <w:szCs w:val="24"/>
                      <w:lang w:eastAsia="lt-LT"/>
                    </w:rPr>
                    <w:t>1</w:t>
                  </w:r>
                </w:sdtContent>
              </w:sdt>
              <w:r>
                <w:rPr>
                  <w:color w:val="000000"/>
                  <w:szCs w:val="24"/>
                  <w:lang w:eastAsia="lt-LT"/>
                </w:rPr>
                <w:t>. P a k e i č i u  Skatinamosios finansinės priemonės „Pokytis“ schemą, patvirtintą Lietuvos Respublikos ekonomikos ir i</w:t>
              </w:r>
              <w:r>
                <w:rPr>
                  <w:color w:val="000000"/>
                  <w:szCs w:val="24"/>
                  <w:lang w:eastAsia="lt-LT"/>
                </w:rPr>
                <w:t>novacijų ministro 2024 m. balandžio 18 d. įsakymu Nr. 4-212 „Dėl Skatinamosios finansinės priemonės „Pokytis“ schemos patvirtinimo“:</w:t>
              </w:r>
            </w:p>
            <w:sdt>
              <w:sdtPr>
                <w:alias w:val="1.1 pp."/>
                <w:tag w:val="part_60f4073ba6b841b0b275a9fed1e28f1b"/>
                <w:id w:val="-1987304787"/>
                <w:lock w:val="sdtLocked"/>
              </w:sdtPr>
              <w:sdtEndPr/>
              <w:sdtContent>
                <w:p w:rsidR="00447762" w:rsidRDefault="00D25B90">
                  <w:pPr>
                    <w:ind w:firstLine="720"/>
                    <w:jc w:val="both"/>
                    <w:rPr>
                      <w:color w:val="000000"/>
                      <w:szCs w:val="24"/>
                      <w:lang w:eastAsia="lt-LT"/>
                    </w:rPr>
                  </w:pPr>
                  <w:sdt>
                    <w:sdtPr>
                      <w:alias w:val="Numeris"/>
                      <w:tag w:val="nr_60f4073ba6b841b0b275a9fed1e28f1b"/>
                      <w:id w:val="-1647887344"/>
                      <w:lock w:val="sdtLocked"/>
                    </w:sdtPr>
                    <w:sdtEndPr/>
                    <w:sdtContent>
                      <w:r>
                        <w:rPr>
                          <w:color w:val="000000"/>
                          <w:szCs w:val="24"/>
                          <w:lang w:eastAsia="lt-LT"/>
                        </w:rPr>
                        <w:t>1.1</w:t>
                      </w:r>
                    </w:sdtContent>
                  </w:sdt>
                  <w:r>
                    <w:rPr>
                      <w:color w:val="000000"/>
                      <w:szCs w:val="24"/>
                      <w:lang w:eastAsia="lt-LT"/>
                    </w:rPr>
                    <w:t>. Pakeičiu 7.1.2.1 papunktį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447762">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color w:val="000000"/>
                            <w:szCs w:val="24"/>
                          </w:rPr>
                        </w:pPr>
                        <w:r>
                          <w:rPr>
                            <w:color w:val="000000"/>
                          </w:rPr>
                          <w:t xml:space="preserve">„7.1.2.1. </w:t>
                        </w:r>
                        <w:r>
                          <w:rPr>
                            <w:rFonts w:eastAsia="Calibri"/>
                            <w:color w:val="000000"/>
                          </w:rPr>
                          <w:t xml:space="preserve">yra pramonės įmonė, t. y. įmonė, kurios pagrindinė ekonominė veikla nustatyta </w:t>
                        </w:r>
                        <w:r>
                          <w:rPr>
                            <w:szCs w:val="24"/>
                          </w:rPr>
                          <w:t xml:space="preserve">Valstybinės duomenų agentūros oficialiosios statistikos portale https://osp.stat.gov.lt/ekonomines-veiklos-rusiu-ir-instituciniu-sektoriu-paieska (toliau </w:t>
                        </w:r>
                        <w:r>
                          <w:rPr>
                            <w:rFonts w:eastAsia="Calibri"/>
                            <w:color w:val="000000"/>
                          </w:rPr>
                          <w:t>–</w:t>
                        </w:r>
                        <w:r>
                          <w:rPr>
                            <w:szCs w:val="24"/>
                          </w:rPr>
                          <w:t xml:space="preserve"> Valstybinės duomenų ag</w:t>
                        </w:r>
                        <w:r>
                          <w:rPr>
                            <w:szCs w:val="24"/>
                          </w:rPr>
                          <w:t>entūros oficialios statistikos portalas),</w:t>
                        </w:r>
                        <w:r>
                          <w:rPr>
                            <w:rFonts w:eastAsia="Calibri"/>
                            <w:color w:val="000000"/>
                          </w:rPr>
                          <w:t xml:space="preserve"> pagal </w:t>
                        </w:r>
                        <w:r>
                          <w:rPr>
                            <w:color w:val="000000"/>
                          </w:rPr>
                          <w:t>Valstybės duomenų agentūros generalinio direktoriaus įsakymu tvirtinamą Ekonominės veiklos rūšių klasifikatorių (EVRK 2.1 red.)</w:t>
                        </w:r>
                        <w:r>
                          <w:rPr>
                            <w:rFonts w:eastAsia="Calibri"/>
                            <w:color w:val="000000"/>
                          </w:rPr>
                          <w:t xml:space="preserve"> (toliau – EVRK 2.1 red.) priskiriama B sekcijai „Kasyba ir karjerų eksploatavima</w:t>
                        </w:r>
                        <w:r>
                          <w:rPr>
                            <w:rFonts w:eastAsia="Calibri"/>
                            <w:color w:val="000000"/>
                          </w:rPr>
                          <w:t>s“ (išskyrus šias ekonomines veiklas: „Žalios naftos ir gamtinių dujų gavyba“ (visi veiklos kodai pagal EVRK 2.1 red. 06 skyrių), „Durpių gavyba“ (veiklos kodas pagal EVRK 2.1 red. 08.92 klasę) ir „Su naftos ir gamtinių dujų gavyba susijusių paslaugų veikl</w:t>
                        </w:r>
                        <w:r>
                          <w:rPr>
                            <w:rFonts w:eastAsia="Calibri"/>
                            <w:color w:val="000000"/>
                          </w:rPr>
                          <w:t xml:space="preserve">a“ (veiklos kodas pagal EVRK 2.1 red. 09.10 klasę)) ir C sekcijai „Apdirbamoji gamyba“ (išskyrus ekonominę veiklą „Kokso ir rafinuotų naftos produktų gamyba“ (veiklos kodas pagal EVRK 2.1 red. 19 skyrių) </w:t>
                        </w:r>
                        <w:r>
                          <w:rPr>
                            <w:color w:val="000000"/>
                          </w:rPr>
                          <w:t>(taikoma, kai kreipiamasi dėl Schemos 7.1.1.1 ir 7.1</w:t>
                        </w:r>
                        <w:r>
                          <w:rPr>
                            <w:color w:val="000000"/>
                          </w:rPr>
                          <w:t>.1.3 papunkčiuose nurodytos Projekto veiklos finansavimo)</w:t>
                        </w:r>
                        <w:r>
                          <w:rPr>
                            <w:rFonts w:eastAsia="Calibri"/>
                            <w:color w:val="000000"/>
                          </w:rPr>
                          <w:t>;“.</w:t>
                        </w:r>
                      </w:p>
                    </w:tc>
                  </w:tr>
                </w:tbl>
                <w:p w:rsidR="00447762" w:rsidRDefault="00D25B90">
                  <w:pPr>
                    <w:ind w:firstLine="720"/>
                    <w:jc w:val="both"/>
                    <w:rPr>
                      <w:color w:val="000000"/>
                      <w:szCs w:val="24"/>
                      <w:lang w:eastAsia="lt-LT"/>
                    </w:rPr>
                  </w:pPr>
                </w:p>
              </w:sdtContent>
            </w:sdt>
            <w:sdt>
              <w:sdtPr>
                <w:alias w:val="1.2 pp."/>
                <w:tag w:val="part_71a7c18860534b71a37dac08382249d7"/>
                <w:id w:val="-920178252"/>
                <w:lock w:val="sdtLocked"/>
              </w:sdtPr>
              <w:sdtEndPr/>
              <w:sdtContent>
                <w:p w:rsidR="00447762" w:rsidRDefault="00D25B90">
                  <w:pPr>
                    <w:ind w:firstLine="720"/>
                    <w:jc w:val="both"/>
                    <w:rPr>
                      <w:color w:val="000000"/>
                      <w:szCs w:val="24"/>
                      <w:lang w:eastAsia="lt-LT"/>
                    </w:rPr>
                  </w:pPr>
                  <w:sdt>
                    <w:sdtPr>
                      <w:alias w:val="Numeris"/>
                      <w:tag w:val="nr_71a7c18860534b71a37dac08382249d7"/>
                      <w:id w:val="-2105861979"/>
                      <w:lock w:val="sdtLocked"/>
                    </w:sdtPr>
                    <w:sdtEndPr/>
                    <w:sdtContent>
                      <w:r>
                        <w:rPr>
                          <w:color w:val="000000"/>
                          <w:szCs w:val="24"/>
                          <w:lang w:eastAsia="lt-LT"/>
                        </w:rPr>
                        <w:t>1.2</w:t>
                      </w:r>
                    </w:sdtContent>
                  </w:sdt>
                  <w:r>
                    <w:rPr>
                      <w:color w:val="000000"/>
                      <w:szCs w:val="24"/>
                      <w:lang w:eastAsia="lt-LT"/>
                    </w:rPr>
                    <w:t>. Pakeičiu 7.1.2.2 papunktį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447762">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rFonts w:eastAsia="Calibri"/>
                            <w:color w:val="000000"/>
                            <w:szCs w:val="24"/>
                          </w:rPr>
                        </w:pPr>
                        <w:r>
                          <w:rPr>
                            <w:rFonts w:eastAsia="Calibri"/>
                            <w:color w:val="000000"/>
                            <w:szCs w:val="24"/>
                          </w:rPr>
                          <w:t xml:space="preserve">„7.1.2.2. jei </w:t>
                        </w:r>
                        <w:r>
                          <w:rPr>
                            <w:rFonts w:eastAsia="Calibri"/>
                            <w:color w:val="000000"/>
                          </w:rPr>
                          <w:t xml:space="preserve">Paskolos gavėjas veikia Sostinės regione, </w:t>
                        </w:r>
                        <w:r>
                          <w:rPr>
                            <w:rFonts w:eastAsia="Calibri"/>
                            <w:color w:val="000000"/>
                            <w:szCs w:val="24"/>
                          </w:rPr>
                          <w:t xml:space="preserve">Paskolos gavėjo vykdoma pagrindinė ekonominė veikla, </w:t>
                        </w:r>
                        <w:r>
                          <w:rPr>
                            <w:szCs w:val="24"/>
                          </w:rPr>
                          <w:t>nustatyta Valstybinės duom</w:t>
                        </w:r>
                        <w:r>
                          <w:rPr>
                            <w:szCs w:val="24"/>
                          </w:rPr>
                          <w:t>enų agentūros oficialiosios statistikos portale,</w:t>
                        </w:r>
                        <w:r>
                          <w:rPr>
                            <w:rFonts w:eastAsia="Calibri"/>
                            <w:color w:val="000000"/>
                            <w:szCs w:val="24"/>
                          </w:rPr>
                          <w:t xml:space="preserve"> priskiriama aukštą pridėtinę vertę kuriantiems sektoriams ir C sekcijai „Apdirbamoji gamyba“ (pagal EVRK 2.1 red.): „P</w:t>
                        </w:r>
                        <w:r>
                          <w:rPr>
                            <w:szCs w:val="24"/>
                          </w:rPr>
                          <w:t>agrindinių vaistų pramonės gaminių ir farmacinių preparatų gamyba“ (</w:t>
                        </w:r>
                        <w:r>
                          <w:rPr>
                            <w:rFonts w:eastAsia="Calibri"/>
                            <w:color w:val="000000"/>
                          </w:rPr>
                          <w:t>visi veiklos kodai pa</w:t>
                        </w:r>
                        <w:r>
                          <w:rPr>
                            <w:rFonts w:eastAsia="Calibri"/>
                            <w:color w:val="000000"/>
                          </w:rPr>
                          <w:t>gal EVRK 2.1 red. 21 skyrių</w:t>
                        </w:r>
                        <w:r>
                          <w:rPr>
                            <w:szCs w:val="24"/>
                          </w:rPr>
                          <w:t>), „Kompiuterinių, elektroninių ir optinių gaminių gamyba“ (</w:t>
                        </w:r>
                        <w:r>
                          <w:rPr>
                            <w:rFonts w:eastAsia="Calibri"/>
                            <w:color w:val="000000"/>
                          </w:rPr>
                          <w:t>visi veiklos kodai pagal EVRK 2.1 red. 26 skyrių)</w:t>
                        </w:r>
                        <w:r>
                          <w:rPr>
                            <w:szCs w:val="24"/>
                          </w:rPr>
                          <w:t>, „Chemikalų ir chemijos produktų gamyba“ (</w:t>
                        </w:r>
                        <w:r>
                          <w:rPr>
                            <w:rFonts w:eastAsia="Calibri"/>
                            <w:color w:val="000000"/>
                          </w:rPr>
                          <w:t>visi veiklos kodai pagal EVRK 2.1 red. 20 skyrių</w:t>
                        </w:r>
                        <w:r>
                          <w:rPr>
                            <w:szCs w:val="24"/>
                          </w:rPr>
                          <w:t xml:space="preserve">), „Elektros įrangos gamyba“ </w:t>
                        </w:r>
                        <w:r>
                          <w:rPr>
                            <w:szCs w:val="24"/>
                          </w:rPr>
                          <w:t>(</w:t>
                        </w:r>
                        <w:r>
                          <w:rPr>
                            <w:rFonts w:eastAsia="Calibri"/>
                            <w:color w:val="000000"/>
                          </w:rPr>
                          <w:t>visi veiklos kodai pagal EVRK 2.1 red. 27 skyrių</w:t>
                        </w:r>
                        <w:r>
                          <w:rPr>
                            <w:szCs w:val="24"/>
                          </w:rPr>
                          <w:t>), „Niekur kitur nepriskirtų mašinų ir įrangos gamyba“ (</w:t>
                        </w:r>
                        <w:r>
                          <w:rPr>
                            <w:rFonts w:eastAsia="Calibri"/>
                            <w:color w:val="000000"/>
                          </w:rPr>
                          <w:t xml:space="preserve">visi veiklos kodai pagal </w:t>
                        </w:r>
                        <w:r>
                          <w:rPr>
                            <w:rFonts w:eastAsia="Calibri"/>
                            <w:color w:val="000000"/>
                          </w:rPr>
                          <w:lastRenderedPageBreak/>
                          <w:t>EVRK 2.1 red. 28 skyrių</w:t>
                        </w:r>
                        <w:r>
                          <w:rPr>
                            <w:szCs w:val="24"/>
                          </w:rPr>
                          <w:t>), „Variklinių transporto priemonių, priekabų ir puspriekabių gamyba“ (</w:t>
                        </w:r>
                        <w:r>
                          <w:rPr>
                            <w:rFonts w:eastAsia="Calibri"/>
                            <w:color w:val="000000"/>
                          </w:rPr>
                          <w:t>visi veiklos kodai pagal EVRK 2.</w:t>
                        </w:r>
                        <w:r>
                          <w:rPr>
                            <w:rFonts w:eastAsia="Calibri"/>
                            <w:color w:val="000000"/>
                          </w:rPr>
                          <w:t>1 red. 29 skyrių</w:t>
                        </w:r>
                        <w:r>
                          <w:rPr>
                            <w:szCs w:val="24"/>
                          </w:rPr>
                          <w:t xml:space="preserve">), „Kitų transporto priemonių ir įrangos gamyba“ (visi </w:t>
                        </w:r>
                        <w:r>
                          <w:rPr>
                            <w:rFonts w:eastAsia="Calibri"/>
                            <w:color w:val="000000"/>
                          </w:rPr>
                          <w:t>veiklos kodai pagal EVRK 2.1 red. 30 skyrių)</w:t>
                        </w:r>
                        <w:r>
                          <w:rPr>
                            <w:szCs w:val="24"/>
                          </w:rPr>
                          <w:t>, išskyrus „Įvairių tipų laivų statyba“ (</w:t>
                        </w:r>
                        <w:r>
                          <w:rPr>
                            <w:rFonts w:eastAsia="Calibri"/>
                            <w:color w:val="000000"/>
                          </w:rPr>
                          <w:t xml:space="preserve">veiklos kodas pagal EVRK 2.1 red. </w:t>
                        </w:r>
                        <w:r>
                          <w:rPr>
                            <w:szCs w:val="24"/>
                          </w:rPr>
                          <w:t>30.1 grupę), taip pat „Medicinos ir odontologijos prietaisų, instr</w:t>
                        </w:r>
                        <w:r>
                          <w:rPr>
                            <w:szCs w:val="24"/>
                          </w:rPr>
                          <w:t>umentų ir reikmenų gamyba“ (</w:t>
                        </w:r>
                        <w:r>
                          <w:rPr>
                            <w:rFonts w:eastAsia="Calibri"/>
                            <w:color w:val="000000"/>
                          </w:rPr>
                          <w:t xml:space="preserve">veiklos kodas pagal EVRK 2.1 red. </w:t>
                        </w:r>
                        <w:r>
                          <w:rPr>
                            <w:szCs w:val="24"/>
                          </w:rPr>
                          <w:t xml:space="preserve">32.5 grupę) </w:t>
                        </w:r>
                        <w:r>
                          <w:rPr>
                            <w:color w:val="000000"/>
                          </w:rPr>
                          <w:t>(taikoma, kai kreipiamasi dėl Schemos 7.1.1.2 papunktyje nurodytos Projekto veiklos finansavimo)</w:t>
                        </w:r>
                        <w:r>
                          <w:rPr>
                            <w:rFonts w:eastAsia="Calibri"/>
                            <w:color w:val="000000"/>
                          </w:rPr>
                          <w:t>;“.</w:t>
                        </w:r>
                      </w:p>
                    </w:tc>
                  </w:tr>
                </w:tbl>
                <w:p w:rsidR="00447762" w:rsidRDefault="00D25B90">
                  <w:pPr>
                    <w:ind w:firstLine="720"/>
                    <w:jc w:val="both"/>
                    <w:rPr>
                      <w:color w:val="000000"/>
                      <w:szCs w:val="24"/>
                      <w:lang w:eastAsia="lt-LT"/>
                    </w:rPr>
                  </w:pPr>
                </w:p>
              </w:sdtContent>
            </w:sdt>
            <w:sdt>
              <w:sdtPr>
                <w:alias w:val="1.3 pp."/>
                <w:tag w:val="part_5442d3973af24639bf58ffe5239d53fc"/>
                <w:id w:val="-1620988289"/>
                <w:lock w:val="sdtLocked"/>
              </w:sdtPr>
              <w:sdtEndPr/>
              <w:sdtContent>
                <w:p w:rsidR="00447762" w:rsidRDefault="00D25B90">
                  <w:pPr>
                    <w:tabs>
                      <w:tab w:val="left" w:pos="567"/>
                    </w:tabs>
                    <w:ind w:right="142" w:firstLine="709"/>
                    <w:jc w:val="both"/>
                    <w:rPr>
                      <w:rFonts w:eastAsia="Calibri"/>
                      <w:szCs w:val="24"/>
                      <w:lang w:eastAsia="ko-KR"/>
                    </w:rPr>
                  </w:pPr>
                  <w:sdt>
                    <w:sdtPr>
                      <w:alias w:val="Numeris"/>
                      <w:tag w:val="nr_5442d3973af24639bf58ffe5239d53fc"/>
                      <w:id w:val="629899603"/>
                      <w:lock w:val="sdtLocked"/>
                    </w:sdtPr>
                    <w:sdtEndPr/>
                    <w:sdtContent>
                      <w:r>
                        <w:rPr>
                          <w:rFonts w:eastAsia="Calibri"/>
                          <w:color w:val="000000"/>
                          <w:szCs w:val="24"/>
                        </w:rPr>
                        <w:t>1.3</w:t>
                      </w:r>
                    </w:sdtContent>
                  </w:sdt>
                  <w:r>
                    <w:rPr>
                      <w:rFonts w:eastAsia="Calibri"/>
                      <w:color w:val="000000"/>
                      <w:szCs w:val="24"/>
                    </w:rPr>
                    <w:t xml:space="preserve">. </w:t>
                  </w:r>
                  <w:r>
                    <w:rPr>
                      <w:rFonts w:eastAsia="Calibri"/>
                      <w:szCs w:val="24"/>
                      <w:lang w:eastAsia="ko-KR"/>
                    </w:rPr>
                    <w:t>Pakeičiu 7.1.2.14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447762">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bCs/>
                            <w:color w:val="000000"/>
                            <w:szCs w:val="24"/>
                            <w:lang w:eastAsia="lt-LT"/>
                          </w:rPr>
                        </w:pPr>
                        <w:r>
                          <w:rPr>
                            <w:bCs/>
                            <w:color w:val="000000"/>
                            <w:szCs w:val="24"/>
                            <w:lang w:eastAsia="lt-LT"/>
                          </w:rPr>
                          <w:t xml:space="preserve">„7.1.2.14. </w:t>
                        </w:r>
                        <w:r>
                          <w:rPr>
                            <w:color w:val="000000"/>
                            <w:szCs w:val="24"/>
                            <w:lang w:eastAsia="lt-LT"/>
                          </w:rPr>
                          <w:t xml:space="preserve">Paskolos </w:t>
                        </w:r>
                        <w:r>
                          <w:rPr>
                            <w:color w:val="000000"/>
                            <w:szCs w:val="24"/>
                            <w:lang w:eastAsia="lt-LT"/>
                          </w:rPr>
                          <w:t>gavėjas, jo vadovas, atstovas, Paskolos gavėjo nuosavybės ir valdymo struktūrai priklausantys asmenys, naudos gavėjai nėra susiję su pinigų plovimu, teroristų finansavimu, mokesčių vengimu ir (arba) kita nusikalstama veikla (pvz., Paskolos gavėjas veikia a</w:t>
                        </w:r>
                        <w:r>
                          <w:rPr>
                            <w:color w:val="000000"/>
                            <w:szCs w:val="24"/>
                            <w:lang w:eastAsia="lt-LT"/>
                          </w:rPr>
                          <w:t>r veikė didelės pinigų plovimo ir (arba) teroristų finansavimo rizikos srityje ir nėra dokumentų ar kitų įrodymų apie Paskolos gavėjo nuosavybės ir valdymo struktūrą, lėšų sandoriams vykdyti šaltinį, verslo santykius ar kitos informacijos ir dokumentų, kur</w:t>
                        </w:r>
                        <w:r>
                          <w:rPr>
                            <w:color w:val="000000"/>
                            <w:szCs w:val="24"/>
                            <w:lang w:eastAsia="lt-LT"/>
                          </w:rPr>
                          <w:t>ie yra reikalingi laikantis teisės aktų, reguliuojančių pinigų plovimo ir teroristų finansavimo prevenciją bei mokesčių vengimo prevenciją)</w:t>
                        </w:r>
                        <w:r>
                          <w:rPr>
                            <w:szCs w:val="24"/>
                            <w:lang w:eastAsia="lt-LT"/>
                          </w:rPr>
                          <w:t>;“.</w:t>
                        </w:r>
                      </w:p>
                    </w:tc>
                  </w:tr>
                </w:tbl>
                <w:p w:rsidR="00447762" w:rsidRDefault="00D25B90">
                  <w:pPr>
                    <w:ind w:firstLine="720"/>
                    <w:jc w:val="both"/>
                    <w:rPr>
                      <w:rFonts w:eastAsia="Calibri"/>
                      <w:color w:val="000000"/>
                      <w:szCs w:val="24"/>
                    </w:rPr>
                  </w:pPr>
                </w:p>
              </w:sdtContent>
            </w:sdt>
            <w:sdt>
              <w:sdtPr>
                <w:alias w:val="1.4 pp."/>
                <w:tag w:val="part_cf6bb92a39e8411b8d2c78640db5ae80"/>
                <w:id w:val="-961032211"/>
                <w:lock w:val="sdtLocked"/>
              </w:sdtPr>
              <w:sdtEndPr/>
              <w:sdtContent>
                <w:p w:rsidR="00447762" w:rsidRDefault="00D25B90">
                  <w:pPr>
                    <w:ind w:firstLine="720"/>
                    <w:jc w:val="both"/>
                    <w:rPr>
                      <w:rFonts w:eastAsia="Calibri"/>
                      <w:szCs w:val="24"/>
                      <w:lang w:eastAsia="ko-KR"/>
                    </w:rPr>
                  </w:pPr>
                  <w:sdt>
                    <w:sdtPr>
                      <w:alias w:val="Numeris"/>
                      <w:tag w:val="nr_cf6bb92a39e8411b8d2c78640db5ae80"/>
                      <w:id w:val="-1815323775"/>
                      <w:lock w:val="sdtLocked"/>
                    </w:sdtPr>
                    <w:sdtEndPr/>
                    <w:sdtContent>
                      <w:r>
                        <w:rPr>
                          <w:rFonts w:eastAsia="Calibri"/>
                          <w:szCs w:val="24"/>
                          <w:lang w:eastAsia="ko-KR"/>
                        </w:rPr>
                        <w:t>1.4</w:t>
                      </w:r>
                    </w:sdtContent>
                  </w:sdt>
                  <w:r>
                    <w:rPr>
                      <w:rFonts w:eastAsia="Calibri"/>
                      <w:szCs w:val="24"/>
                      <w:lang w:eastAsia="ko-KR"/>
                    </w:rPr>
                    <w:t>. Pakeičiu 8.1.9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447762">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rFonts w:eastAsia="Calibri"/>
                            <w:color w:val="000000"/>
                            <w:szCs w:val="24"/>
                          </w:rPr>
                        </w:pPr>
                        <w:r>
                          <w:rPr>
                            <w:color w:val="000000"/>
                          </w:rPr>
                          <w:t>„8.1.9. Projektas prisideda prie Mokslinių tyrimų ir ek</w:t>
                        </w:r>
                        <w:r>
                          <w:rPr>
                            <w:color w:val="000000"/>
                          </w:rPr>
                          <w:t>sperimentinės plėtros ir inovacijų (sumaniosios specializacijos) koncepcijos, patvirtintos Lietuvos Respublikos Vyriausybės 2022 m. rugpjūčio 17 d. nutarimu Nr. 835 „Dėl Mokslinių tyrimų ir eksperimentinės plėtros ir inovacijų (sumaniosios specializacijos)</w:t>
                        </w:r>
                        <w:r>
                          <w:rPr>
                            <w:color w:val="000000"/>
                          </w:rPr>
                          <w:t xml:space="preserve"> koncepcijos patvirtinimo“, įgyvendinimo ir atitinka bent vieną mokslinių tyrimų ir eksperimentinės plėtros ir inovacijų (sumaniosios specializacijos)</w:t>
                        </w:r>
                        <w:r>
                          <w:rPr>
                            <w:i/>
                            <w:iCs/>
                            <w:color w:val="000000"/>
                          </w:rPr>
                          <w:t xml:space="preserve"> </w:t>
                        </w:r>
                        <w:r>
                          <w:rPr>
                            <w:color w:val="000000"/>
                          </w:rPr>
                          <w:t>prioriteto tematiką (taikoma, kai kreipiamasi dėl Schemos 7.1.1.1 papunktyje nurodytos veiklos finansavim</w:t>
                        </w:r>
                        <w:r>
                          <w:rPr>
                            <w:color w:val="000000"/>
                          </w:rPr>
                          <w:t xml:space="preserve">o ir Paskolos gavėjas prašo dotacijos ir kai kreipiamasi dėl 7.1.1.2 ar 7.1.1.3 papunkčiuose nurodytos Projekto veiklos finansavimo);“. </w:t>
                        </w:r>
                      </w:p>
                    </w:tc>
                  </w:tr>
                </w:tbl>
                <w:p w:rsidR="00447762" w:rsidRDefault="00D25B90">
                  <w:pPr>
                    <w:ind w:firstLine="720"/>
                    <w:jc w:val="both"/>
                    <w:rPr>
                      <w:rFonts w:eastAsia="Calibri"/>
                      <w:color w:val="000000"/>
                      <w:szCs w:val="24"/>
                    </w:rPr>
                  </w:pPr>
                </w:p>
              </w:sdtContent>
            </w:sdt>
            <w:sdt>
              <w:sdtPr>
                <w:alias w:val="1.5 pp."/>
                <w:tag w:val="part_0269eb38e0cf4052bb84646e084b2ac9"/>
                <w:id w:val="-205714886"/>
                <w:lock w:val="sdtLocked"/>
              </w:sdtPr>
              <w:sdtEndPr/>
              <w:sdtContent>
                <w:p w:rsidR="00447762" w:rsidRDefault="00D25B90">
                  <w:pPr>
                    <w:ind w:firstLine="720"/>
                    <w:jc w:val="both"/>
                    <w:rPr>
                      <w:rFonts w:eastAsia="Calibri"/>
                      <w:szCs w:val="24"/>
                      <w:lang w:eastAsia="ko-KR"/>
                    </w:rPr>
                  </w:pPr>
                  <w:sdt>
                    <w:sdtPr>
                      <w:alias w:val="Numeris"/>
                      <w:tag w:val="nr_0269eb38e0cf4052bb84646e084b2ac9"/>
                      <w:id w:val="407584851"/>
                      <w:lock w:val="sdtLocked"/>
                    </w:sdtPr>
                    <w:sdtEndPr/>
                    <w:sdtContent>
                      <w:r>
                        <w:rPr>
                          <w:rFonts w:eastAsia="Calibri"/>
                          <w:szCs w:val="24"/>
                          <w:lang w:eastAsia="ko-KR"/>
                        </w:rPr>
                        <w:t>1.</w:t>
                      </w:r>
                      <w:r>
                        <w:rPr>
                          <w:rFonts w:eastAsia="Calibri"/>
                          <w:szCs w:val="24"/>
                          <w:lang w:val="en-US" w:eastAsia="ko-KR"/>
                        </w:rPr>
                        <w:t>5</w:t>
                      </w:r>
                    </w:sdtContent>
                  </w:sdt>
                  <w:r>
                    <w:rPr>
                      <w:rFonts w:eastAsia="Calibri"/>
                      <w:szCs w:val="24"/>
                      <w:lang w:eastAsia="ko-KR"/>
                    </w:rPr>
                    <w:t>. Papildau 10.1.6 papunkčiu:</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447762">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rFonts w:eastAsia="Calibri"/>
                            <w:color w:val="000000"/>
                            <w:szCs w:val="24"/>
                          </w:rPr>
                        </w:pPr>
                        <w:r>
                          <w:rPr>
                            <w:color w:val="000000"/>
                          </w:rPr>
                          <w:t>„</w:t>
                        </w:r>
                        <w:r>
                          <w:rPr>
                            <w:rFonts w:eastAsia="Calibri"/>
                          </w:rPr>
                          <w:t xml:space="preserve">10.1.6. investicijoms, kurios yra fiziškai pabaigtos arba visiškai įgyvendintos sprendimo dėl finansavimo skyrimo priėmimo dieną, kaip nurodyta Reglamento </w:t>
                        </w:r>
                        <w:hyperlink r:id="rId12" w:tgtFrame="_blank" w:history="1">
                          <w:r>
                            <w:rPr>
                              <w:rFonts w:eastAsia="Calibri"/>
                              <w:color w:val="0000FF" w:themeColor="hyperlink"/>
                              <w:u w:val="single"/>
                            </w:rPr>
                            <w:t>(ES) 2021/1060</w:t>
                          </w:r>
                        </w:hyperlink>
                        <w:r>
                          <w:rPr>
                            <w:rFonts w:eastAsia="Calibri"/>
                          </w:rPr>
                          <w:t xml:space="preserve"> 58 straipsnio 2 dalies antrojoje pastraipoje.</w:t>
                        </w:r>
                        <w:r>
                          <w:rPr>
                            <w:color w:val="000000"/>
                          </w:rPr>
                          <w:t>“</w:t>
                        </w:r>
                      </w:p>
                    </w:tc>
                  </w:tr>
                </w:tbl>
                <w:p w:rsidR="00447762" w:rsidRDefault="00D25B90">
                  <w:pPr>
                    <w:tabs>
                      <w:tab w:val="left" w:pos="567"/>
                    </w:tabs>
                    <w:ind w:right="142" w:firstLine="709"/>
                    <w:jc w:val="both"/>
                    <w:rPr>
                      <w:rFonts w:eastAsia="Calibri"/>
                      <w:color w:val="000000"/>
                      <w:szCs w:val="24"/>
                    </w:rPr>
                  </w:pPr>
                </w:p>
              </w:sdtContent>
            </w:sdt>
            <w:sdt>
              <w:sdtPr>
                <w:alias w:val="1.6 pp."/>
                <w:tag w:val="part_7651280b3bde4971b68203577d4c8134"/>
                <w:id w:val="-630941055"/>
                <w:lock w:val="sdtLocked"/>
              </w:sdtPr>
              <w:sdtEndPr/>
              <w:sdtContent>
                <w:p w:rsidR="00447762" w:rsidRDefault="00D25B90">
                  <w:pPr>
                    <w:tabs>
                      <w:tab w:val="left" w:pos="567"/>
                    </w:tabs>
                    <w:ind w:right="142" w:firstLine="709"/>
                    <w:jc w:val="both"/>
                    <w:rPr>
                      <w:rFonts w:eastAsia="Calibri"/>
                      <w:szCs w:val="24"/>
                      <w:lang w:eastAsia="ko-KR"/>
                    </w:rPr>
                  </w:pPr>
                  <w:sdt>
                    <w:sdtPr>
                      <w:alias w:val="Numeris"/>
                      <w:tag w:val="nr_7651280b3bde4971b68203577d4c8134"/>
                      <w:id w:val="-1858734438"/>
                      <w:lock w:val="sdtLocked"/>
                    </w:sdtPr>
                    <w:sdtEndPr/>
                    <w:sdtContent>
                      <w:r>
                        <w:rPr>
                          <w:rFonts w:eastAsia="Calibri"/>
                          <w:color w:val="000000"/>
                          <w:szCs w:val="24"/>
                        </w:rPr>
                        <w:t>1.6</w:t>
                      </w:r>
                    </w:sdtContent>
                  </w:sdt>
                  <w:r>
                    <w:rPr>
                      <w:rFonts w:eastAsia="Calibri"/>
                      <w:color w:val="000000"/>
                      <w:szCs w:val="24"/>
                    </w:rPr>
                    <w:t xml:space="preserve">. </w:t>
                  </w:r>
                  <w:r>
                    <w:rPr>
                      <w:rFonts w:eastAsia="Calibri"/>
                      <w:szCs w:val="24"/>
                      <w:lang w:eastAsia="ko-KR"/>
                    </w:rPr>
                    <w:t>Pakeičiu 18.2 papunkčio pirmąją pastraipą ir ją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447762">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447762">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447762" w:rsidRDefault="00D25B90">
                        <w:pPr>
                          <w:jc w:val="both"/>
                          <w:rPr>
                            <w:bCs/>
                            <w:color w:val="000000"/>
                          </w:rPr>
                        </w:pPr>
                        <w:r>
                          <w:rPr>
                            <w:bCs/>
                            <w:color w:val="000000"/>
                          </w:rPr>
                          <w:t>„</w:t>
                        </w:r>
                        <w:r>
                          <w:t xml:space="preserve">18.2. Duomenų valdytoja ILTE, juridinio asmens kodas 110084026, buveinės adresas – </w:t>
                        </w:r>
                        <w:r>
                          <w:rPr>
                            <w:color w:val="000000"/>
                            <w:lang w:eastAsia="lt-LT"/>
                          </w:rPr>
                          <w:t>Ukmergės g. 124, 08100 Vilnius</w:t>
                        </w:r>
                        <w:r>
                          <w:t xml:space="preserve">, </w:t>
                        </w:r>
                        <w:r>
                          <w:br/>
                        </w:r>
                        <w:r>
                          <w:t xml:space="preserve">tel. + 370 5 210 7510, el. paštas </w:t>
                        </w:r>
                        <w:proofErr w:type="spellStart"/>
                        <w:r>
                          <w:t>info@ilte.lt</w:t>
                        </w:r>
                        <w:proofErr w:type="spellEnd"/>
                        <w:r>
                          <w:t xml:space="preserve"> (duomenų apsaugos pareigūno el. paštas </w:t>
                        </w:r>
                        <w:proofErr w:type="spellStart"/>
                        <w:r>
                          <w:t>duomenu.apsauga@ilte.lt</w:t>
                        </w:r>
                        <w:proofErr w:type="spellEnd"/>
                        <w:r>
                          <w:t>), tvarko su Priemonės įgyvendinimu susijusius paraiškoje ir jos prieduose pateiktus bei iš kitų duomenų šaltinių surinktus, kaip nustatyta Schemoj</w:t>
                        </w:r>
                        <w:r>
                          <w:t>e, asmens duomenis:“.</w:t>
                        </w:r>
                      </w:p>
                    </w:tc>
                  </w:tr>
                </w:tbl>
                <w:p w:rsidR="00447762" w:rsidRDefault="00447762">
                  <w:pPr>
                    <w:rPr>
                      <w:sz w:val="8"/>
                      <w:szCs w:val="8"/>
                    </w:rPr>
                  </w:pPr>
                </w:p>
                <w:p w:rsidR="00447762" w:rsidRDefault="00447762">
                  <w:pPr>
                    <w:ind w:firstLine="720"/>
                    <w:jc w:val="both"/>
                    <w:rPr>
                      <w:color w:val="000000"/>
                      <w:szCs w:val="24"/>
                      <w:lang w:eastAsia="lt-LT"/>
                    </w:rPr>
                  </w:pPr>
                </w:p>
                <w:p w:rsidR="00447762" w:rsidRDefault="00D25B90">
                  <w:pPr>
                    <w:rPr>
                      <w:sz w:val="8"/>
                      <w:szCs w:val="8"/>
                    </w:rPr>
                  </w:pPr>
                </w:p>
              </w:sdtContent>
            </w:sdt>
          </w:sdtContent>
        </w:sdt>
        <w:sdt>
          <w:sdtPr>
            <w:alias w:val="2 p."/>
            <w:tag w:val="part_cb46f6c3440e4959a071042524ddf036"/>
            <w:id w:val="-1815485606"/>
            <w:lock w:val="sdtLocked"/>
          </w:sdtPr>
          <w:sdtEndPr/>
          <w:sdtContent>
            <w:p w:rsidR="00447762" w:rsidRDefault="00D25B90" w:rsidP="00D25B90">
              <w:pPr>
                <w:ind w:firstLine="720"/>
                <w:jc w:val="both"/>
                <w:rPr>
                  <w:szCs w:val="24"/>
                </w:rPr>
              </w:pPr>
              <w:sdt>
                <w:sdtPr>
                  <w:alias w:val="Numeris"/>
                  <w:tag w:val="nr_cb46f6c3440e4959a071042524ddf036"/>
                  <w:id w:val="-1646189413"/>
                  <w:lock w:val="sdtLocked"/>
                </w:sdtPr>
                <w:sdtEndPr/>
                <w:sdtContent>
                  <w:r>
                    <w:rPr>
                      <w:color w:val="000000"/>
                      <w:szCs w:val="24"/>
                      <w:lang w:eastAsia="lt-LT"/>
                    </w:rPr>
                    <w:t>2</w:t>
                  </w:r>
                </w:sdtContent>
              </w:sdt>
              <w:r>
                <w:rPr>
                  <w:color w:val="000000"/>
                  <w:szCs w:val="24"/>
                  <w:lang w:eastAsia="lt-LT"/>
                </w:rPr>
                <w:t xml:space="preserve">. </w:t>
              </w:r>
              <w:r>
                <w:rPr>
                  <w:szCs w:val="24"/>
                  <w:lang w:eastAsia="lt-LT"/>
                </w:rPr>
                <w:t xml:space="preserve">N u s t a t a u, kad šis įsakymas taikomas vertinant po šio įsakymo įsigaliojimo uždarojoje akcinėje bendrovėje ILTE (toliau – ILTE) gautas paskolų gavėjų paraiškas ir iki šio įsakymo įsigaliojimo ILTE gautas paskolų </w:t>
              </w:r>
              <w:r>
                <w:rPr>
                  <w:szCs w:val="24"/>
                  <w:lang w:eastAsia="lt-LT"/>
                </w:rPr>
                <w:t>gavėjų paraiškas, dėl kurių nėra priimti ILTE sprendimai dėl paskolos suteikimo.</w:t>
              </w:r>
            </w:p>
          </w:sdtContent>
        </w:sdt>
        <w:sdt>
          <w:sdtPr>
            <w:alias w:val="signatura"/>
            <w:tag w:val="part_ec3caaf3713d40bbbe2fc05d7af035a1"/>
            <w:id w:val="1629902675"/>
            <w:lock w:val="sdtLocked"/>
          </w:sdtPr>
          <w:sdtEndPr/>
          <w:sdtContent>
            <w:p w:rsidR="00D25B90" w:rsidRDefault="00D25B90">
              <w:pPr>
                <w:tabs>
                  <w:tab w:val="left" w:pos="7230"/>
                </w:tabs>
              </w:pPr>
            </w:p>
            <w:p w:rsidR="00D25B90" w:rsidRDefault="00D25B90">
              <w:pPr>
                <w:tabs>
                  <w:tab w:val="left" w:pos="7230"/>
                </w:tabs>
              </w:pPr>
            </w:p>
            <w:p w:rsidR="00D25B90" w:rsidRDefault="00D25B90">
              <w:pPr>
                <w:tabs>
                  <w:tab w:val="left" w:pos="7230"/>
                </w:tabs>
              </w:pPr>
            </w:p>
            <w:p w:rsidR="00447762" w:rsidRDefault="00D25B90">
              <w:pPr>
                <w:tabs>
                  <w:tab w:val="left" w:pos="7230"/>
                </w:tabs>
                <w:rPr>
                  <w:szCs w:val="24"/>
                </w:rPr>
              </w:pPr>
              <w:bookmarkStart w:id="0" w:name="_GoBack"/>
              <w:bookmarkEnd w:id="0"/>
              <w:r>
                <w:rPr>
                  <w:szCs w:val="24"/>
                </w:rPr>
                <w:t>Ekonomikos ir inovacijų ministras</w:t>
              </w:r>
              <w:r>
                <w:rPr>
                  <w:szCs w:val="24"/>
                </w:rPr>
                <w:tab/>
              </w:r>
              <w:r>
                <w:rPr>
                  <w:szCs w:val="24"/>
                </w:rPr>
                <w:tab/>
                <w:t xml:space="preserve">   Lukas Savickas</w:t>
              </w:r>
            </w:p>
            <w:p w:rsidR="00447762" w:rsidRDefault="00D25B90">
              <w:pPr>
                <w:rPr>
                  <w:szCs w:val="24"/>
                </w:rPr>
              </w:pPr>
            </w:p>
          </w:sdtContent>
        </w:sdt>
      </w:sdtContent>
    </w:sdt>
    <w:sectPr w:rsidR="00447762">
      <w:headerReference w:type="even" r:id="rId13"/>
      <w:headerReference w:type="default" r:id="rId14"/>
      <w:footerReference w:type="even" r:id="rId15"/>
      <w:footerReference w:type="default" r:id="rId16"/>
      <w:headerReference w:type="first" r:id="rId17"/>
      <w:footerReference w:type="first" r:id="rId18"/>
      <w:pgSz w:w="11906" w:h="16838" w:code="9"/>
      <w:pgMar w:top="1134" w:right="566" w:bottom="851"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7762" w:rsidRDefault="00D25B90">
      <w:pPr>
        <w:jc w:val="both"/>
      </w:pPr>
      <w:r>
        <w:separator/>
      </w:r>
    </w:p>
  </w:endnote>
  <w:endnote w:type="continuationSeparator" w:id="0">
    <w:p w:rsidR="00447762" w:rsidRDefault="00D25B90">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447762">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447762">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44776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7762" w:rsidRDefault="00D25B90">
      <w:pPr>
        <w:jc w:val="both"/>
      </w:pPr>
      <w:r>
        <w:separator/>
      </w:r>
    </w:p>
  </w:footnote>
  <w:footnote w:type="continuationSeparator" w:id="0">
    <w:p w:rsidR="00447762" w:rsidRDefault="00D25B90">
      <w:pPr>
        <w:jc w:val="both"/>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44776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D25B90">
    <w:pPr>
      <w:tabs>
        <w:tab w:val="center" w:pos="4153"/>
        <w:tab w:val="right" w:pos="8306"/>
      </w:tabs>
      <w:jc w:val="center"/>
    </w:pPr>
    <w:r>
      <w:fldChar w:fldCharType="begin"/>
    </w:r>
    <w:r>
      <w:instrText>PAGE   \* MERGEFORMAT</w:instrText>
    </w:r>
    <w:r>
      <w:fldChar w:fldCharType="separate"/>
    </w:r>
    <w:r>
      <w:rPr>
        <w:noProof/>
      </w:rPr>
      <w:t>3</w:t>
    </w:r>
    <w:r>
      <w:fldChar w:fldCharType="end"/>
    </w:r>
  </w:p>
  <w:p w:rsidR="00447762" w:rsidRDefault="00447762">
    <w:pPr>
      <w:tabs>
        <w:tab w:val="center" w:pos="4153"/>
        <w:tab w:val="right" w:pos="8306"/>
      </w:tabs>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762" w:rsidRDefault="0044776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637"/>
    <w:rsid w:val="00361637"/>
    <w:rsid w:val="00447762"/>
    <w:rsid w:val="00D25B9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C3C4ED"/>
  <w15:docId w15:val="{CC29E612-5E89-42A8-AFDC-FB2C29DB2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09329">
      <w:bodyDiv w:val="1"/>
      <w:marLeft w:val="0"/>
      <w:marRight w:val="0"/>
      <w:marTop w:val="0"/>
      <w:marBottom w:val="0"/>
      <w:divBdr>
        <w:top w:val="none" w:sz="0" w:space="0" w:color="auto"/>
        <w:left w:val="none" w:sz="0" w:space="0" w:color="auto"/>
        <w:bottom w:val="none" w:sz="0" w:space="0" w:color="auto"/>
        <w:right w:val="none" w:sz="0" w:space="0" w:color="auto"/>
      </w:divBdr>
      <w:divsChild>
        <w:div w:id="308900983">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03100568">
      <w:bodyDiv w:val="1"/>
      <w:marLeft w:val="0"/>
      <w:marRight w:val="0"/>
      <w:marTop w:val="0"/>
      <w:marBottom w:val="0"/>
      <w:divBdr>
        <w:top w:val="none" w:sz="0" w:space="0" w:color="auto"/>
        <w:left w:val="none" w:sz="0" w:space="0" w:color="auto"/>
        <w:bottom w:val="none" w:sz="0" w:space="0" w:color="auto"/>
        <w:right w:val="none" w:sz="0" w:space="0" w:color="auto"/>
      </w:divBdr>
      <w:divsChild>
        <w:div w:id="62148477">
          <w:marLeft w:val="0"/>
          <w:marRight w:val="0"/>
          <w:marTop w:val="0"/>
          <w:marBottom w:val="0"/>
          <w:divBdr>
            <w:top w:val="none" w:sz="0" w:space="0" w:color="auto"/>
            <w:left w:val="none" w:sz="0" w:space="0" w:color="auto"/>
            <w:bottom w:val="none" w:sz="0" w:space="0" w:color="auto"/>
            <w:right w:val="none" w:sz="0" w:space="0" w:color="auto"/>
          </w:divBdr>
          <w:divsChild>
            <w:div w:id="1875532403">
              <w:marLeft w:val="0"/>
              <w:marRight w:val="0"/>
              <w:marTop w:val="0"/>
              <w:marBottom w:val="0"/>
              <w:divBdr>
                <w:top w:val="none" w:sz="0" w:space="0" w:color="auto"/>
                <w:left w:val="none" w:sz="0" w:space="0" w:color="auto"/>
                <w:bottom w:val="none" w:sz="0" w:space="0" w:color="auto"/>
                <w:right w:val="none" w:sz="0" w:space="0" w:color="auto"/>
              </w:divBdr>
            </w:div>
            <w:div w:id="50267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8400">
      <w:bodyDiv w:val="1"/>
      <w:marLeft w:val="0"/>
      <w:marRight w:val="0"/>
      <w:marTop w:val="0"/>
      <w:marBottom w:val="0"/>
      <w:divBdr>
        <w:top w:val="none" w:sz="0" w:space="0" w:color="auto"/>
        <w:left w:val="none" w:sz="0" w:space="0" w:color="auto"/>
        <w:bottom w:val="none" w:sz="0" w:space="0" w:color="auto"/>
        <w:right w:val="none" w:sz="0" w:space="0" w:color="auto"/>
      </w:divBdr>
      <w:divsChild>
        <w:div w:id="429200956">
          <w:marLeft w:val="0"/>
          <w:marRight w:val="0"/>
          <w:marTop w:val="0"/>
          <w:marBottom w:val="0"/>
          <w:divBdr>
            <w:top w:val="none" w:sz="0" w:space="0" w:color="auto"/>
            <w:left w:val="none" w:sz="0" w:space="0" w:color="auto"/>
            <w:bottom w:val="none" w:sz="0" w:space="0" w:color="auto"/>
            <w:right w:val="none" w:sz="0" w:space="0" w:color="auto"/>
          </w:divBdr>
        </w:div>
      </w:divsChild>
    </w:div>
    <w:div w:id="533806248">
      <w:bodyDiv w:val="1"/>
      <w:marLeft w:val="0"/>
      <w:marRight w:val="0"/>
      <w:marTop w:val="0"/>
      <w:marBottom w:val="0"/>
      <w:divBdr>
        <w:top w:val="none" w:sz="0" w:space="0" w:color="auto"/>
        <w:left w:val="none" w:sz="0" w:space="0" w:color="auto"/>
        <w:bottom w:val="none" w:sz="0" w:space="0" w:color="auto"/>
        <w:right w:val="none" w:sz="0" w:space="0" w:color="auto"/>
      </w:divBdr>
    </w:div>
    <w:div w:id="539245448">
      <w:bodyDiv w:val="1"/>
      <w:marLeft w:val="0"/>
      <w:marRight w:val="0"/>
      <w:marTop w:val="0"/>
      <w:marBottom w:val="0"/>
      <w:divBdr>
        <w:top w:val="none" w:sz="0" w:space="0" w:color="auto"/>
        <w:left w:val="none" w:sz="0" w:space="0" w:color="auto"/>
        <w:bottom w:val="none" w:sz="0" w:space="0" w:color="auto"/>
        <w:right w:val="none" w:sz="0" w:space="0" w:color="auto"/>
      </w:divBdr>
      <w:divsChild>
        <w:div w:id="920528031">
          <w:marLeft w:val="0"/>
          <w:marRight w:val="0"/>
          <w:marTop w:val="0"/>
          <w:marBottom w:val="0"/>
          <w:divBdr>
            <w:top w:val="none" w:sz="0" w:space="0" w:color="auto"/>
            <w:left w:val="none" w:sz="0" w:space="0" w:color="auto"/>
            <w:bottom w:val="none" w:sz="0" w:space="0" w:color="auto"/>
            <w:right w:val="none" w:sz="0" w:space="0" w:color="auto"/>
          </w:divBdr>
        </w:div>
        <w:div w:id="2100062056">
          <w:marLeft w:val="0"/>
          <w:marRight w:val="0"/>
          <w:marTop w:val="0"/>
          <w:marBottom w:val="0"/>
          <w:divBdr>
            <w:top w:val="none" w:sz="0" w:space="0" w:color="auto"/>
            <w:left w:val="none" w:sz="0" w:space="0" w:color="auto"/>
            <w:bottom w:val="none" w:sz="0" w:space="0" w:color="auto"/>
            <w:right w:val="none" w:sz="0" w:space="0" w:color="auto"/>
          </w:divBdr>
          <w:divsChild>
            <w:div w:id="3022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050251">
      <w:bodyDiv w:val="1"/>
      <w:marLeft w:val="0"/>
      <w:marRight w:val="0"/>
      <w:marTop w:val="0"/>
      <w:marBottom w:val="0"/>
      <w:divBdr>
        <w:top w:val="none" w:sz="0" w:space="0" w:color="auto"/>
        <w:left w:val="none" w:sz="0" w:space="0" w:color="auto"/>
        <w:bottom w:val="none" w:sz="0" w:space="0" w:color="auto"/>
        <w:right w:val="none" w:sz="0" w:space="0" w:color="auto"/>
      </w:divBdr>
      <w:divsChild>
        <w:div w:id="620650872">
          <w:marLeft w:val="0"/>
          <w:marRight w:val="0"/>
          <w:marTop w:val="0"/>
          <w:marBottom w:val="0"/>
          <w:divBdr>
            <w:top w:val="none" w:sz="0" w:space="0" w:color="auto"/>
            <w:left w:val="none" w:sz="0" w:space="0" w:color="auto"/>
            <w:bottom w:val="none" w:sz="0" w:space="0" w:color="auto"/>
            <w:right w:val="none" w:sz="0" w:space="0" w:color="auto"/>
          </w:divBdr>
        </w:div>
        <w:div w:id="1340350450">
          <w:marLeft w:val="0"/>
          <w:marRight w:val="0"/>
          <w:marTop w:val="0"/>
          <w:marBottom w:val="0"/>
          <w:divBdr>
            <w:top w:val="none" w:sz="0" w:space="0" w:color="auto"/>
            <w:left w:val="none" w:sz="0" w:space="0" w:color="auto"/>
            <w:bottom w:val="none" w:sz="0" w:space="0" w:color="auto"/>
            <w:right w:val="none" w:sz="0" w:space="0" w:color="auto"/>
          </w:divBdr>
          <w:divsChild>
            <w:div w:id="127894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042689">
      <w:bodyDiv w:val="1"/>
      <w:marLeft w:val="0"/>
      <w:marRight w:val="0"/>
      <w:marTop w:val="0"/>
      <w:marBottom w:val="0"/>
      <w:divBdr>
        <w:top w:val="none" w:sz="0" w:space="0" w:color="auto"/>
        <w:left w:val="none" w:sz="0" w:space="0" w:color="auto"/>
        <w:bottom w:val="none" w:sz="0" w:space="0" w:color="auto"/>
        <w:right w:val="none" w:sz="0" w:space="0" w:color="auto"/>
      </w:divBdr>
    </w:div>
    <w:div w:id="825316009">
      <w:bodyDiv w:val="1"/>
      <w:marLeft w:val="225"/>
      <w:marRight w:val="225"/>
      <w:marTop w:val="0"/>
      <w:marBottom w:val="0"/>
      <w:divBdr>
        <w:top w:val="none" w:sz="0" w:space="0" w:color="auto"/>
        <w:left w:val="none" w:sz="0" w:space="0" w:color="auto"/>
        <w:bottom w:val="none" w:sz="0" w:space="0" w:color="auto"/>
        <w:right w:val="none" w:sz="0" w:space="0" w:color="auto"/>
      </w:divBdr>
      <w:divsChild>
        <w:div w:id="1799108820">
          <w:marLeft w:val="0"/>
          <w:marRight w:val="0"/>
          <w:marTop w:val="0"/>
          <w:marBottom w:val="0"/>
          <w:divBdr>
            <w:top w:val="none" w:sz="0" w:space="0" w:color="auto"/>
            <w:left w:val="none" w:sz="0" w:space="0" w:color="auto"/>
            <w:bottom w:val="none" w:sz="0" w:space="0" w:color="auto"/>
            <w:right w:val="none" w:sz="0" w:space="0" w:color="auto"/>
          </w:divBdr>
        </w:div>
      </w:divsChild>
    </w:div>
    <w:div w:id="843276593">
      <w:bodyDiv w:val="1"/>
      <w:marLeft w:val="0"/>
      <w:marRight w:val="0"/>
      <w:marTop w:val="0"/>
      <w:marBottom w:val="0"/>
      <w:divBdr>
        <w:top w:val="none" w:sz="0" w:space="0" w:color="auto"/>
        <w:left w:val="none" w:sz="0" w:space="0" w:color="auto"/>
        <w:bottom w:val="none" w:sz="0" w:space="0" w:color="auto"/>
        <w:right w:val="none" w:sz="0" w:space="0" w:color="auto"/>
      </w:divBdr>
    </w:div>
    <w:div w:id="875044669">
      <w:bodyDiv w:val="1"/>
      <w:marLeft w:val="0"/>
      <w:marRight w:val="0"/>
      <w:marTop w:val="0"/>
      <w:marBottom w:val="0"/>
      <w:divBdr>
        <w:top w:val="none" w:sz="0" w:space="0" w:color="auto"/>
        <w:left w:val="none" w:sz="0" w:space="0" w:color="auto"/>
        <w:bottom w:val="none" w:sz="0" w:space="0" w:color="auto"/>
        <w:right w:val="none" w:sz="0" w:space="0" w:color="auto"/>
      </w:divBdr>
    </w:div>
    <w:div w:id="1055156411">
      <w:bodyDiv w:val="1"/>
      <w:marLeft w:val="0"/>
      <w:marRight w:val="0"/>
      <w:marTop w:val="0"/>
      <w:marBottom w:val="0"/>
      <w:divBdr>
        <w:top w:val="none" w:sz="0" w:space="0" w:color="auto"/>
        <w:left w:val="none" w:sz="0" w:space="0" w:color="auto"/>
        <w:bottom w:val="none" w:sz="0" w:space="0" w:color="auto"/>
        <w:right w:val="none" w:sz="0" w:space="0" w:color="auto"/>
      </w:divBdr>
    </w:div>
    <w:div w:id="1127238592">
      <w:bodyDiv w:val="1"/>
      <w:marLeft w:val="0"/>
      <w:marRight w:val="0"/>
      <w:marTop w:val="0"/>
      <w:marBottom w:val="0"/>
      <w:divBdr>
        <w:top w:val="none" w:sz="0" w:space="0" w:color="auto"/>
        <w:left w:val="none" w:sz="0" w:space="0" w:color="auto"/>
        <w:bottom w:val="none" w:sz="0" w:space="0" w:color="auto"/>
        <w:right w:val="none" w:sz="0" w:space="0" w:color="auto"/>
      </w:divBdr>
    </w:div>
    <w:div w:id="1322461410">
      <w:bodyDiv w:val="1"/>
      <w:marLeft w:val="225"/>
      <w:marRight w:val="225"/>
      <w:marTop w:val="0"/>
      <w:marBottom w:val="0"/>
      <w:divBdr>
        <w:top w:val="none" w:sz="0" w:space="0" w:color="auto"/>
        <w:left w:val="none" w:sz="0" w:space="0" w:color="auto"/>
        <w:bottom w:val="none" w:sz="0" w:space="0" w:color="auto"/>
        <w:right w:val="none" w:sz="0" w:space="0" w:color="auto"/>
      </w:divBdr>
      <w:divsChild>
        <w:div w:id="797839873">
          <w:marLeft w:val="0"/>
          <w:marRight w:val="0"/>
          <w:marTop w:val="0"/>
          <w:marBottom w:val="0"/>
          <w:divBdr>
            <w:top w:val="none" w:sz="0" w:space="0" w:color="auto"/>
            <w:left w:val="none" w:sz="0" w:space="0" w:color="auto"/>
            <w:bottom w:val="none" w:sz="0" w:space="0" w:color="auto"/>
            <w:right w:val="none" w:sz="0" w:space="0" w:color="auto"/>
          </w:divBdr>
        </w:div>
      </w:divsChild>
    </w:div>
    <w:div w:id="1396969534">
      <w:bodyDiv w:val="1"/>
      <w:marLeft w:val="0"/>
      <w:marRight w:val="0"/>
      <w:marTop w:val="0"/>
      <w:marBottom w:val="0"/>
      <w:divBdr>
        <w:top w:val="none" w:sz="0" w:space="0" w:color="auto"/>
        <w:left w:val="none" w:sz="0" w:space="0" w:color="auto"/>
        <w:bottom w:val="none" w:sz="0" w:space="0" w:color="auto"/>
        <w:right w:val="none" w:sz="0" w:space="0" w:color="auto"/>
      </w:divBdr>
    </w:div>
    <w:div w:id="1401437834">
      <w:bodyDiv w:val="1"/>
      <w:marLeft w:val="0"/>
      <w:marRight w:val="0"/>
      <w:marTop w:val="0"/>
      <w:marBottom w:val="0"/>
      <w:divBdr>
        <w:top w:val="none" w:sz="0" w:space="0" w:color="auto"/>
        <w:left w:val="none" w:sz="0" w:space="0" w:color="auto"/>
        <w:bottom w:val="none" w:sz="0" w:space="0" w:color="auto"/>
        <w:right w:val="none" w:sz="0" w:space="0" w:color="auto"/>
      </w:divBdr>
    </w:div>
    <w:div w:id="1645155218">
      <w:bodyDiv w:val="1"/>
      <w:marLeft w:val="0"/>
      <w:marRight w:val="0"/>
      <w:marTop w:val="0"/>
      <w:marBottom w:val="0"/>
      <w:divBdr>
        <w:top w:val="none" w:sz="0" w:space="0" w:color="auto"/>
        <w:left w:val="none" w:sz="0" w:space="0" w:color="auto"/>
        <w:bottom w:val="none" w:sz="0" w:space="0" w:color="auto"/>
        <w:right w:val="none" w:sz="0" w:space="0" w:color="auto"/>
      </w:divBdr>
    </w:div>
    <w:div w:id="1660842598">
      <w:bodyDiv w:val="1"/>
      <w:marLeft w:val="0"/>
      <w:marRight w:val="0"/>
      <w:marTop w:val="0"/>
      <w:marBottom w:val="0"/>
      <w:divBdr>
        <w:top w:val="none" w:sz="0" w:space="0" w:color="auto"/>
        <w:left w:val="none" w:sz="0" w:space="0" w:color="auto"/>
        <w:bottom w:val="none" w:sz="0" w:space="0" w:color="auto"/>
        <w:right w:val="none" w:sz="0" w:space="0" w:color="auto"/>
      </w:divBdr>
    </w:div>
    <w:div w:id="1675837703">
      <w:bodyDiv w:val="1"/>
      <w:marLeft w:val="0"/>
      <w:marRight w:val="0"/>
      <w:marTop w:val="0"/>
      <w:marBottom w:val="0"/>
      <w:divBdr>
        <w:top w:val="none" w:sz="0" w:space="0" w:color="auto"/>
        <w:left w:val="none" w:sz="0" w:space="0" w:color="auto"/>
        <w:bottom w:val="none" w:sz="0" w:space="0" w:color="auto"/>
        <w:right w:val="none" w:sz="0" w:space="0" w:color="auto"/>
      </w:divBdr>
      <w:divsChild>
        <w:div w:id="300308564">
          <w:marLeft w:val="0"/>
          <w:marRight w:val="0"/>
          <w:marTop w:val="0"/>
          <w:marBottom w:val="0"/>
          <w:divBdr>
            <w:top w:val="none" w:sz="0" w:space="0" w:color="auto"/>
            <w:left w:val="none" w:sz="0" w:space="0" w:color="auto"/>
            <w:bottom w:val="none" w:sz="0" w:space="0" w:color="auto"/>
            <w:right w:val="none" w:sz="0" w:space="0" w:color="auto"/>
          </w:divBdr>
        </w:div>
        <w:div w:id="941491576">
          <w:marLeft w:val="0"/>
          <w:marRight w:val="0"/>
          <w:marTop w:val="0"/>
          <w:marBottom w:val="0"/>
          <w:divBdr>
            <w:top w:val="none" w:sz="0" w:space="0" w:color="auto"/>
            <w:left w:val="none" w:sz="0" w:space="0" w:color="auto"/>
            <w:bottom w:val="none" w:sz="0" w:space="0" w:color="auto"/>
            <w:right w:val="none" w:sz="0" w:space="0" w:color="auto"/>
          </w:divBdr>
        </w:div>
      </w:divsChild>
    </w:div>
    <w:div w:id="1705248825">
      <w:bodyDiv w:val="1"/>
      <w:marLeft w:val="0"/>
      <w:marRight w:val="0"/>
      <w:marTop w:val="0"/>
      <w:marBottom w:val="0"/>
      <w:divBdr>
        <w:top w:val="none" w:sz="0" w:space="0" w:color="auto"/>
        <w:left w:val="none" w:sz="0" w:space="0" w:color="auto"/>
        <w:bottom w:val="none" w:sz="0" w:space="0" w:color="auto"/>
        <w:right w:val="none" w:sz="0" w:space="0" w:color="auto"/>
      </w:divBdr>
      <w:divsChild>
        <w:div w:id="467893531">
          <w:marLeft w:val="0"/>
          <w:marRight w:val="0"/>
          <w:marTop w:val="0"/>
          <w:marBottom w:val="0"/>
          <w:divBdr>
            <w:top w:val="none" w:sz="0" w:space="0" w:color="auto"/>
            <w:left w:val="none" w:sz="0" w:space="0" w:color="auto"/>
            <w:bottom w:val="none" w:sz="0" w:space="0" w:color="auto"/>
            <w:right w:val="none" w:sz="0" w:space="0" w:color="auto"/>
          </w:divBdr>
        </w:div>
        <w:div w:id="641544011">
          <w:marLeft w:val="0"/>
          <w:marRight w:val="0"/>
          <w:marTop w:val="0"/>
          <w:marBottom w:val="0"/>
          <w:divBdr>
            <w:top w:val="none" w:sz="0" w:space="0" w:color="auto"/>
            <w:left w:val="none" w:sz="0" w:space="0" w:color="auto"/>
            <w:bottom w:val="none" w:sz="0" w:space="0" w:color="auto"/>
            <w:right w:val="none" w:sz="0" w:space="0" w:color="auto"/>
          </w:divBdr>
        </w:div>
      </w:divsChild>
    </w:div>
    <w:div w:id="1779761307">
      <w:bodyDiv w:val="1"/>
      <w:marLeft w:val="0"/>
      <w:marRight w:val="0"/>
      <w:marTop w:val="0"/>
      <w:marBottom w:val="0"/>
      <w:divBdr>
        <w:top w:val="none" w:sz="0" w:space="0" w:color="auto"/>
        <w:left w:val="none" w:sz="0" w:space="0" w:color="auto"/>
        <w:bottom w:val="none" w:sz="0" w:space="0" w:color="auto"/>
        <w:right w:val="none" w:sz="0" w:space="0" w:color="auto"/>
      </w:divBdr>
    </w:div>
    <w:div w:id="1944260713">
      <w:bodyDiv w:val="1"/>
      <w:marLeft w:val="0"/>
      <w:marRight w:val="0"/>
      <w:marTop w:val="0"/>
      <w:marBottom w:val="0"/>
      <w:divBdr>
        <w:top w:val="none" w:sz="0" w:space="0" w:color="auto"/>
        <w:left w:val="none" w:sz="0" w:space="0" w:color="auto"/>
        <w:bottom w:val="none" w:sz="0" w:space="0" w:color="auto"/>
        <w:right w:val="none" w:sz="0" w:space="0" w:color="auto"/>
      </w:divBdr>
      <w:divsChild>
        <w:div w:id="1942058100">
          <w:marLeft w:val="0"/>
          <w:marRight w:val="0"/>
          <w:marTop w:val="0"/>
          <w:marBottom w:val="0"/>
          <w:divBdr>
            <w:top w:val="none" w:sz="0" w:space="0" w:color="auto"/>
            <w:left w:val="none" w:sz="0" w:space="0" w:color="auto"/>
            <w:bottom w:val="none" w:sz="0" w:space="0" w:color="auto"/>
            <w:right w:val="none" w:sz="0" w:space="0" w:color="auto"/>
          </w:divBdr>
        </w:div>
      </w:divsChild>
    </w:div>
    <w:div w:id="2010518346">
      <w:bodyDiv w:val="1"/>
      <w:marLeft w:val="0"/>
      <w:marRight w:val="0"/>
      <w:marTop w:val="0"/>
      <w:marBottom w:val="0"/>
      <w:divBdr>
        <w:top w:val="none" w:sz="0" w:space="0" w:color="auto"/>
        <w:left w:val="none" w:sz="0" w:space="0" w:color="auto"/>
        <w:bottom w:val="none" w:sz="0" w:space="0" w:color="auto"/>
        <w:right w:val="none" w:sz="0" w:space="0" w:color="auto"/>
      </w:divBdr>
    </w:div>
    <w:div w:id="207343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eur-lex.europa.eu/legal-content/LIT/TXT/?uri=CELEX:32021R1060&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2884797b2f04a408d50a34936bd18fe" PartId="6a5b2a0d6ed748a18efc94d3efe87196">
    <Part Type="punktas" Nr="1" Abbr="1 p." DocPartId="6a5642ff49f34303b4a5c16c95959a2f" PartId="09a87480a004474891f9bf569ce874d0">
      <Part Type="papunktis" Nr="1.1" Abbr="1.1 pp." DocPartId="6ce7d60a57a1455bb9b94c73b4178ae6" PartId="60f4073ba6b841b0b275a9fed1e28f1b"/>
      <Part Type="papunktis" Nr="1.2" Abbr="1.2 pp." DocPartId="fcbd4e514d0b4b94a1a4caea14eedc52" PartId="71a7c18860534b71a37dac08382249d7"/>
      <Part Type="papunktis" Nr="1.3" Abbr="1.3 pp." DocPartId="1f3bacf2d830456e8cd908a1d2712a08" PartId="5442d3973af24639bf58ffe5239d53fc"/>
      <Part Type="papunktis" Nr="1.4" Abbr="1.4 pp." DocPartId="abcd63f6f54f4e308534c87e1a043a3b" PartId="cf6bb92a39e8411b8d2c78640db5ae80"/>
      <Part Type="papunktis" Nr="1.5" Abbr="1.5 pp." DocPartId="5648c1cd76f6436d829917664db71f51" PartId="0269eb38e0cf4052bb84646e084b2ac9"/>
      <Part Type="papunktis" Nr="1.6" Abbr="1.6 pp." DocPartId="9fe403abf77c4fbf9c92caf626570e47" PartId="7651280b3bde4971b68203577d4c8134"/>
    </Part>
    <Part Type="punktas" Nr="2" Abbr="2 p." DocPartId="4190cd818e4047ddbe7d6bfdc006b54f" PartId="cb46f6c3440e4959a071042524ddf036"/>
    <Part Type="signatura" DocPartId="2489e49427ee4b16bba0f98c6b61af87" PartId="ec3caaf3713d40bbbe2fc05d7af035a1"/>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BBB84B8-165F-47ED-A397-E1AE6945D27D}">
  <ds:schemaRefs>
    <ds:schemaRef ds:uri="http://schemas.microsoft.com/sharepoint/v3/contenttype/forms"/>
  </ds:schemaRefs>
</ds:datastoreItem>
</file>

<file path=customXml/itemProps2.xml><?xml version="1.0" encoding="utf-8"?>
<ds:datastoreItem xmlns:ds="http://schemas.openxmlformats.org/officeDocument/2006/customXml" ds:itemID="{1F99FFC6-6E1D-4CF7-BE19-CC6FD71A51B1}">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3.xml><?xml version="1.0" encoding="utf-8"?>
<ds:datastoreItem xmlns:ds="http://schemas.openxmlformats.org/officeDocument/2006/customXml" ds:itemID="{E4E2FA98-4E55-4BF3-8151-99B7A7723E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C20BBC-89BF-4C8E-9790-7882DE70DFBD}">
  <ds:schemaRefs>
    <ds:schemaRef ds:uri="http://lrs.lt/TAIS/DocParts"/>
  </ds:schemaRefs>
</ds:datastoreItem>
</file>

<file path=customXml/itemProps5.xml><?xml version="1.0" encoding="utf-8"?>
<ds:datastoreItem xmlns:ds="http://schemas.openxmlformats.org/officeDocument/2006/customXml" ds:itemID="{74CC5A87-F67D-42E3-A940-A7A4DBA1D4A6}">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731</Words>
  <Characters>5043</Characters>
  <Application>Microsoft Office Word</Application>
  <DocSecurity>0</DocSecurity>
  <Lines>42</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5763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a.bartkute</dc:creator>
  <cp:lastModifiedBy>DZIKAITĖ Jolanta</cp:lastModifiedBy>
  <cp:revision>3</cp:revision>
  <cp:lastPrinted>2016-09-06T11:33:00Z</cp:lastPrinted>
  <dcterms:created xsi:type="dcterms:W3CDTF">2025-05-28T05:39:00Z</dcterms:created>
  <dcterms:modified xsi:type="dcterms:W3CDTF">2025-05-28T07:42:00Z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