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 wp14:anchorId="7F9091FE" wp14:editId="683DC53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CIVILINIO KODEKSO 2.46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2016 m. birželio 2 d. Nr. XII-2398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2.46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2.46 straipsnio 4 dalį ir ją išdėstyti taip: 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Juridinio asmens steigimo dokumentai netenka galios, jeigu jie nebuvo pateikti juridinių asmenų registrui per šešis mėnesius nuo steigimo dokumentų sudarymo, jeigu kiti įstatymai nenustato kitokio termino. Šio straipsnio 3 dalyje nurodyti teisės aktai privalo būti pateikti juridinių asmenų registrui per šiuose aktuose nustatytą terminą.“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2016 m. spalio 1 d.</w:t>
      </w:r>
    </w:p>
    <w:p>
      <w:pPr>
        <w:spacing w:line="360" w:lineRule="auto"/>
        <w:ind w:firstLine="720"/>
        <w:contextualSpacing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750</Characters>
  <Application>Microsoft Office Word</Application>
  <DocSecurity>4</DocSecurity>
  <Lines>31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849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2016-06-08T13:07:00Z</dcterms:created>
  <dc:creator>MANIUŠKIENĖ Violeta</dc:creator>
  <lastModifiedBy>Adlib User</lastModifiedBy>
  <lastPrinted>2004-12-10T05:45:00Z</lastPrinted>
  <dcterms:modified xsi:type="dcterms:W3CDTF">2016-06-08T13:07:00Z</dcterms:modified>
  <revision>2</revision>
</coreProperties>
</file>