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8cf7a2964544a17bcb1909051cfdf7a"/>
        <w:id w:val="256559586"/>
        <w:lock w:val="sdtLocked"/>
      </w:sdtPr>
      <w:sdtEndPr/>
      <w:sdtContent>
        <w:p w:rsidR="00AA2E8D" w:rsidRDefault="00AA2E8D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GB"/>
            </w:rPr>
          </w:pPr>
        </w:p>
        <w:p w:rsidR="00AA2E8D" w:rsidRDefault="00AA2E8D">
          <w:pPr>
            <w:tabs>
              <w:tab w:val="center" w:pos="4513"/>
              <w:tab w:val="right" w:pos="9026"/>
            </w:tabs>
            <w:rPr>
              <w:sz w:val="22"/>
              <w:szCs w:val="22"/>
              <w:lang w:val="en-GB"/>
            </w:rPr>
          </w:pPr>
        </w:p>
        <w:p w:rsidR="00AA2E8D" w:rsidRDefault="0007406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ko-KR"/>
            </w:rPr>
            <w:drawing>
              <wp:inline distT="0" distB="0" distL="0" distR="0" wp14:anchorId="5269A351" wp14:editId="39AB2BA6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/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AA2E8D">
          <w:pPr>
            <w:jc w:val="center"/>
            <w:rPr>
              <w:b/>
              <w:bCs/>
              <w:szCs w:val="24"/>
            </w:rPr>
          </w:pP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07406D">
          <w:pPr>
            <w:ind w:firstLine="62"/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AA2E8D">
          <w:pPr>
            <w:overflowPunct w:val="0"/>
            <w:jc w:val="center"/>
            <w:textAlignment w:val="baseline"/>
            <w:rPr>
              <w:szCs w:val="24"/>
            </w:rPr>
          </w:pP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07406D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07406D">
          <w:pPr>
            <w:suppressAutoHyphens/>
            <w:ind w:firstLine="62"/>
            <w:jc w:val="center"/>
            <w:rPr>
              <w:b/>
              <w:bCs/>
              <w:szCs w:val="24"/>
              <w:shd w:val="clear" w:color="auto" w:fill="FFFFFF"/>
            </w:rPr>
          </w:pPr>
          <w:r>
            <w:rPr>
              <w:b/>
              <w:bCs/>
              <w:szCs w:val="24"/>
              <w:shd w:val="clear" w:color="auto" w:fill="FFFFFF"/>
            </w:rPr>
            <w:t xml:space="preserve">DĖL ŠVIETIMO, MOKSLO IR SPORTO MINISTRO 2022 M. RUGPJŪČIO 17 D. ĮSAKYMO NR. V-1250 „DĖL 2022–2030 M. </w:t>
          </w:r>
          <w:r>
            <w:rPr>
              <w:b/>
              <w:bCs/>
              <w:szCs w:val="24"/>
              <w:shd w:val="clear" w:color="auto" w:fill="FFFFFF"/>
            </w:rPr>
            <w:t>PLĖTROS PROGRAMOS VALDYTOJOS LIETUVOS RESPUBLIKOS ŠVIETIMO, MOKSLO IR SPORTO MINISTERIJOS MOKSLO PLĖTROS PROGRAMOS PAŽANGOS PRIEMONĖS NR. 12-001-01-02-01 „</w:t>
          </w:r>
          <w:r>
            <w:rPr>
              <w:b/>
              <w:bCs/>
            </w:rPr>
            <w:t>STIPRINTI INOVACIJŲ EKOSISTEMAS MOKSLO CENTRUOSE</w:t>
          </w:r>
          <w:r>
            <w:rPr>
              <w:b/>
              <w:bCs/>
              <w:szCs w:val="24"/>
              <w:shd w:val="clear" w:color="auto" w:fill="FFFFFF"/>
            </w:rPr>
            <w:t>“ APRAŠO PATVIRTINIMO“ PAKEITIMO</w:t>
          </w:r>
        </w:p>
        <w:p w:rsidR="00AA2E8D" w:rsidRDefault="00AA2E8D">
          <w:pPr>
            <w:overflowPunct w:val="0"/>
            <w:jc w:val="center"/>
            <w:textAlignment w:val="baseline"/>
            <w:rPr>
              <w:b/>
              <w:bCs/>
              <w:caps/>
              <w:szCs w:val="24"/>
            </w:rPr>
          </w:pPr>
        </w:p>
        <w:p w:rsidR="00AA2E8D" w:rsidRDefault="00AA2E8D">
          <w:pPr>
            <w:overflowPunct w:val="0"/>
            <w:jc w:val="center"/>
            <w:textAlignment w:val="baseline"/>
            <w:rPr>
              <w:szCs w:val="24"/>
            </w:rPr>
          </w:pPr>
        </w:p>
        <w:p w:rsidR="00AA2E8D" w:rsidRDefault="00AA2E8D">
          <w:pPr>
            <w:rPr>
              <w:sz w:val="2"/>
              <w:szCs w:val="2"/>
            </w:rPr>
          </w:pPr>
        </w:p>
        <w:p w:rsidR="00AA2E8D" w:rsidRDefault="0007406D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>
            <w:rPr>
              <w:szCs w:val="24"/>
            </w:rPr>
            <w:t>2023 m. rugpjūčio</w:t>
          </w:r>
          <w:r>
            <w:rPr>
              <w:szCs w:val="24"/>
            </w:rPr>
            <w:t xml:space="preserve"> 11 d. Nr. V-1057</w:t>
          </w:r>
        </w:p>
        <w:p w:rsidR="00AA2E8D" w:rsidRDefault="0007406D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AA2E8D" w:rsidRDefault="00AA2E8D">
          <w:pPr>
            <w:jc w:val="center"/>
            <w:rPr>
              <w:sz w:val="2"/>
              <w:szCs w:val="2"/>
            </w:rPr>
          </w:pPr>
        </w:p>
        <w:p w:rsidR="00AA2E8D" w:rsidRDefault="00AA2E8D">
          <w:pPr>
            <w:overflowPunct w:val="0"/>
            <w:ind w:left="108"/>
            <w:jc w:val="center"/>
            <w:textAlignment w:val="baseline"/>
            <w:rPr>
              <w:szCs w:val="24"/>
            </w:rPr>
          </w:pPr>
        </w:p>
        <w:p w:rsidR="00AA2E8D" w:rsidRDefault="00AA2E8D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sdt>
          <w:sdtPr>
            <w:alias w:val="preambule"/>
            <w:tag w:val="part_1d38c009d52a45109b5aadcaa5573577"/>
            <w:id w:val="1937180208"/>
            <w:lock w:val="sdtLocked"/>
          </w:sdtPr>
          <w:sdtEndPr/>
          <w:sdtContent>
            <w:p w:rsidR="00AA2E8D" w:rsidRDefault="0007406D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m. plėtros programos valdytojos Lietuvos Respublikos švietimo, mokslo ir sporto ministerijos mokslo plėtros programos pažangos priemonės Nr. 12-001-01-02-01 „Stiprinti inovacijų ekosistemas mokslo cent</w:t>
              </w:r>
              <w:r>
                <w:rPr>
                  <w:szCs w:val="24"/>
                </w:rPr>
                <w:t>ruose“ aprašą, patvirtintą Lietuvos Respublikos švietimo, mokslo ir sporto ministro 2022 m. rugpjūčio 17 d. įsakymu Nr. V-1250 „Dėl 2022–2030 m. plėtros programos valdytojos Lietuvos Respublikos švietimo, mokslo ir sporto ministerijos mokslo plėtros progra</w:t>
              </w:r>
              <w:r>
                <w:rPr>
                  <w:szCs w:val="24"/>
                </w:rPr>
                <w:t>mos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pažangos priemonės Nr. 12-001-01-02-01 „Stiprinti inovacijų ekosistemas mokslo centruose“</w:t>
              </w:r>
              <w:r>
                <w:rPr>
                  <w:i/>
                  <w:szCs w:val="24"/>
                </w:rPr>
                <w:t xml:space="preserve"> </w:t>
              </w:r>
              <w:r>
                <w:rPr>
                  <w:szCs w:val="24"/>
                </w:rPr>
                <w:t>aprašo patvirtinimo“, ir 5 priedo 10 punktą išdėstau taip:</w:t>
              </w:r>
            </w:p>
          </w:sdtContent>
        </w:sdt>
        <w:sdt>
          <w:sdtPr>
            <w:alias w:val="lentele"/>
            <w:tag w:val="part_6877e0552557457985177aa86a03ec38"/>
            <w:id w:val="-1217279277"/>
            <w:lock w:val="sdtLocked"/>
          </w:sdtPr>
          <w:sdtEndPr/>
          <w:sdtContent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629"/>
              </w:tblGrid>
              <w:tr w:rsidR="00AA2E8D">
                <w:trPr>
                  <w:trHeight w:val="349"/>
                </w:trPr>
                <w:tc>
                  <w:tcPr>
                    <w:tcW w:w="5000" w:type="pct"/>
                  </w:tcPr>
                  <w:p w:rsidR="00AA2E8D" w:rsidRDefault="0007406D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„</w:t>
                    </w:r>
                    <w:r>
                      <w:rPr>
                        <w:b/>
                        <w:szCs w:val="24"/>
                      </w:rPr>
                      <w:t>10. Projektų veiklų ir jungtinio projekto projektų įgyvendinimui taikomi supaprastintai apmokamų išl</w:t>
                    </w:r>
                    <w:r>
                      <w:rPr>
                        <w:b/>
                        <w:szCs w:val="24"/>
                      </w:rPr>
                      <w:t>aidų dydžiai</w:t>
                    </w:r>
                  </w:p>
                </w:tc>
              </w:tr>
              <w:tr w:rsidR="00AA2E8D">
                <w:tc>
                  <w:tcPr>
                    <w:tcW w:w="5000" w:type="pct"/>
                  </w:tcPr>
                  <w:p w:rsidR="00AA2E8D" w:rsidRDefault="00AA2E8D">
                    <w:pPr>
                      <w:jc w:val="both"/>
                      <w:rPr>
                        <w:i/>
                        <w:iCs/>
                        <w:szCs w:val="24"/>
                      </w:rPr>
                    </w:pPr>
                  </w:p>
                  <w:tbl>
                    <w:tblPr>
                      <w:tblW w:w="9384" w:type="dxa"/>
                      <w:tblBorders>
                        <w:top w:val="single" w:sz="4" w:space="0" w:color="auto"/>
                        <w:left w:val="single" w:sz="4" w:space="0" w:color="auto"/>
                        <w:bottom w:val="single" w:sz="4" w:space="0" w:color="auto"/>
                        <w:right w:val="single" w:sz="4" w:space="0" w:color="auto"/>
                        <w:insideH w:val="single" w:sz="4" w:space="0" w:color="auto"/>
                        <w:insideV w:val="single" w:sz="4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205"/>
                      <w:gridCol w:w="1610"/>
                      <w:gridCol w:w="1610"/>
                      <w:gridCol w:w="2087"/>
                      <w:gridCol w:w="1872"/>
                    </w:tblGrid>
                    <w:tr w:rsidR="00AA2E8D">
                      <w:tc>
                        <w:tcPr>
                          <w:tcW w:w="9384" w:type="dxa"/>
                          <w:gridSpan w:val="5"/>
                        </w:tcPr>
                        <w:p w:rsidR="00AA2E8D" w:rsidRDefault="0007406D">
                          <w:pPr>
                            <w:jc w:val="both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MS Gothic" w:eastAsia="MS Gothic" w:hAnsi="MS Gothic" w:cs="MS Gothic"/>
                              <w:b/>
                              <w:bCs/>
                              <w:sz w:val="22"/>
                              <w:szCs w:val="22"/>
                            </w:rPr>
                            <w:t>☐</w:t>
                          </w: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 xml:space="preserve"> Indeksuojama</w:t>
                          </w:r>
                        </w:p>
                        <w:p w:rsidR="00AA2E8D" w:rsidRDefault="0007406D">
                          <w:pPr>
                            <w:jc w:val="both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MS Gothic" w:eastAsia="MS Gothic" w:hAnsi="MS Gothic"/>
                              <w:b/>
                              <w:bCs/>
                              <w:sz w:val="22"/>
                              <w:szCs w:val="22"/>
                            </w:rPr>
                            <w:t>☒</w:t>
                          </w: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 xml:space="preserve"> Neindeksuojama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Veiklos ir (ar) išlaidos, kurioms taikomi supaprastintai apmokamų išlaidų dydžiai</w:t>
                          </w:r>
                        </w:p>
                      </w:tc>
                      <w:tc>
                        <w:tcPr>
                          <w:tcW w:w="1610" w:type="dxa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Supaprastintai apmokamų išlaidų dydžio kodas</w:t>
                          </w:r>
                        </w:p>
                      </w:tc>
                      <w:tc>
                        <w:tcPr>
                          <w:tcW w:w="1610" w:type="dxa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b/>
                              <w:bCs/>
                              <w:i/>
                              <w:iCs/>
                              <w:color w:val="808080"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Supaprastintai apmokamų išlaidų dydžio versija</w:t>
                          </w:r>
                        </w:p>
                      </w:tc>
                      <w:tc>
                        <w:tcPr>
                          <w:tcW w:w="2087" w:type="dxa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 xml:space="preserve">Supaprastintai apmokamų išlaidų </w:t>
                          </w: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dydžio pavadinimas</w:t>
                          </w:r>
                        </w:p>
                      </w:tc>
                      <w:tc>
                        <w:tcPr>
                          <w:tcW w:w="1872" w:type="dxa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b/>
                              <w:bCs/>
                              <w:sz w:val="22"/>
                              <w:szCs w:val="22"/>
                            </w:rPr>
                          </w:pPr>
                          <w:r>
                            <w:rPr>
                              <w:b/>
                              <w:bCs/>
                              <w:sz w:val="22"/>
                              <w:szCs w:val="22"/>
                            </w:rPr>
                            <w:t>Papildoma informacija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10.1. Privalomos projekto matomumo ir informavimo apie projektus priemonės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FS-01-01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bCs/>
                              <w:iCs/>
                              <w:sz w:val="20"/>
                            </w:rPr>
                            <w:t xml:space="preserve">Įgyvendintų privalomų matomumo ir informavimo priemonių apie ES fondų investicijų veiklas fiksuotoji suma, pirmojo rinkinio FS </w:t>
                          </w:r>
                          <w:r>
                            <w:rPr>
                              <w:bCs/>
                              <w:iCs/>
                              <w:sz w:val="20"/>
                            </w:rPr>
                            <w:t>be PVM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Išlaidų suma – 15,45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10.2. Privalomos projekto matomumo ir informavimo apie projektus priemonės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FS-01-02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iCs/>
                              <w:sz w:val="20"/>
                            </w:rPr>
                          </w:pPr>
                          <w:r>
                            <w:rPr>
                              <w:bCs/>
                              <w:iCs/>
                              <w:sz w:val="20"/>
                            </w:rPr>
                            <w:t xml:space="preserve">Įgyvendintų privalomų matomumo ir informavimo priemonių apie ES fondų investicijų veiklas fiksuotoji </w:t>
                          </w:r>
                          <w:r>
                            <w:rPr>
                              <w:bCs/>
                              <w:iCs/>
                              <w:sz w:val="20"/>
                            </w:rPr>
                            <w:lastRenderedPageBreak/>
                            <w:t>suma, pirmojo rinkinio FS su PVM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lastRenderedPageBreak/>
                            <w:t xml:space="preserve">Išlaidų suma – 18,69 </w:t>
                          </w:r>
                          <w:proofErr w:type="spellStart"/>
                          <w:r>
                            <w:rPr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10.3. Netiesioginės išlaidos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FN-01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iCs/>
                              <w:sz w:val="20"/>
                            </w:rPr>
                          </w:pPr>
                          <w:r>
                            <w:rPr>
                              <w:iCs/>
                              <w:sz w:val="20"/>
                            </w:rPr>
                            <w:t>7 proc. netiesioginių išlaidų fiksuotoji norma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i/>
                              <w:iCs/>
                              <w:sz w:val="20"/>
                            </w:rPr>
                            <w:t>-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10.4. Projektą vykdančio personalo darbo užmokesčio išlaidų dalis per mėnesį, skirta kasmetinėms atostogoms, kuri apskaičiuojama nuo tinkamų </w:t>
                          </w:r>
                          <w:r>
                            <w:rPr>
                              <w:sz w:val="20"/>
                            </w:rPr>
                            <w:t>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(8,63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20 darbo dienų (toliau – d. d.) (jeigu dirbama 5 d. d. per savaitę) arba 24 d. d. (jeigu dirbama 6 d. d. per s</w:t>
                          </w:r>
                          <w:r>
                            <w:rPr>
                              <w:sz w:val="20"/>
                            </w:rPr>
                            <w:t>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ind w:right="50"/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kasmetines atostogas, kurios apskaičiuojamos nuo tinkamų finansuoti faktiškai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10.5. Projektą vykdančio personalo </w:t>
                          </w:r>
                          <w:r>
                            <w:rPr>
                              <w:sz w:val="20"/>
                            </w:rPr>
                            <w:t>darbo užmokesčio išlaidų dalis per mėnesį, skirta kasmetinėms atostogoms, kuri apskaičiuojama nuo tinkamų 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(10,44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nuo</w:t>
                          </w:r>
                          <w:r>
                            <w:rPr>
                              <w:sz w:val="20"/>
                            </w:rPr>
                            <w:t xml:space="preserve"> 21 iki 25 d. d. (jeigu dirbama 5 d. d. per savaitę) arba nuo 25 iki 30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kasmetines atostogas, kurios apskaičiuojamos nuo tinkamų finansu</w:t>
                          </w:r>
                          <w:r>
                            <w:rPr>
                              <w:sz w:val="20"/>
                            </w:rPr>
                            <w:t>oti faktiškai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10.6. Projektą vykdančio personalo darbo užmokesčio išlaidų dalis per mėnesį, skirta kasmetinėms atostogoms, kuri apskaičiuojama nuo tinkamų finansuoti faktiškai patirtų darbo užmokesčio</w:t>
                          </w:r>
                          <w:r>
                            <w:rPr>
                              <w:sz w:val="20"/>
                            </w:rPr>
                            <w:t xml:space="preserve">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(12,35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FN-05-03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iCs/>
                              <w:sz w:val="20"/>
                              <w:lang w:eastAsia="lt-LT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nuo 26 iki 30 d. d. (jeigu dirbama 5 d. d. per savaitę) arba nuo 31 iki 36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i/>
                              <w:iCs/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</w:t>
                          </w:r>
                          <w:r>
                            <w:rPr>
                              <w:sz w:val="20"/>
                            </w:rPr>
                            <w:t>o personalo darbo užmokesčio išlaidos už kasmetines atostogas, kurios apskaičiuojamos nuo tinkamų finansuoti faktiškai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10.7. Projektą vykdančio personalo darbo užmokesčio išlaidų dalis per mėnesį, </w:t>
                          </w:r>
                          <w:r>
                            <w:rPr>
                              <w:sz w:val="20"/>
                            </w:rPr>
                            <w:t>skirta kasmetinėms atostogoms, kuri apskaičiuojama nuo tinkamų 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(14,99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FN-05-04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nuo 31 iki 36 d. d. (jeigu dirbama 5 d. d. per</w:t>
                          </w:r>
                          <w:r>
                            <w:rPr>
                              <w:sz w:val="20"/>
                            </w:rPr>
                            <w:t xml:space="preserve"> savaitę) arba nuo 37 iki 42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kasmetines atostogas, kurios apskaičiuojamos nuo tinkamų finansuoti faktiškai patirtų vykdančiojo personalo</w:t>
                          </w:r>
                          <w:r>
                            <w:rPr>
                              <w:sz w:val="20"/>
                            </w:rPr>
                            <w:t xml:space="preserve">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10.8. Projektą vykdančio personalo darbo užmokesčio išlaidų dalis per mėnesį, skirta kasmetinėms atostogoms, kuri apskaičiuojama nuo tinkamų 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(15,25 p</w:t>
                          </w:r>
                          <w:r>
                            <w:rPr>
                              <w:sz w:val="20"/>
                            </w:rPr>
                            <w:t>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FN-05-05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nuo 37 iki 39 d. d. (jeigu dirbama 5 d. d. per savaitę) arba nuo 43 iki 47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</w:t>
                          </w:r>
                          <w:r>
                            <w:rPr>
                              <w:sz w:val="20"/>
                            </w:rPr>
                            <w:t>smetines atostogas, kurios apskaičiuojamos nuo tinkamų finansuoti faktiškai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10.9. Projektą vykdančio personalo darbo užmokesčio išlaidų dalis per mėnesį, skirta kasmetinėms atostogoms, kuri apskaičiuo</w:t>
                          </w:r>
                          <w:r>
                            <w:rPr>
                              <w:sz w:val="20"/>
                            </w:rPr>
                            <w:t>jama nuo tinkamų 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(18,89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FN-05-06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Fiksuotoji norma, taikoma, kai priklauso 40 d. d. (jeigu dirbama 5 d. d. per savaitę) arba 48 d. d. (jeigu dirbama 6 d. d. per </w:t>
                          </w:r>
                          <w:r>
                            <w:rPr>
                              <w:sz w:val="20"/>
                            </w:rPr>
                            <w:t>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kasmetines atostogas, kurios apskaičiuojamos nuo tinkamų finansuoti faktiškai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10.10. Projektą vykdančio personalo</w:t>
                          </w:r>
                          <w:r>
                            <w:rPr>
                              <w:sz w:val="20"/>
                            </w:rPr>
                            <w:t xml:space="preserve"> darbo užmokesčio išlaidų dalis per mėnesį, skirta kasmetinėms atostogoms, kuri apskaičiuojama nuo tinkamų finansuoti faktiškai patirtų darbo užmokesčio išlaidų už faktiškai dirbtą laiką</w:t>
                          </w:r>
                        </w:p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(20,02 proc.)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FN-05-07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Fiksuotoji norma, taikoma, kai priklauso nu</w:t>
                          </w:r>
                          <w:r>
                            <w:rPr>
                              <w:sz w:val="20"/>
                            </w:rPr>
                            <w:t>o 41 d. d. (jeigu dirbama 5 d. d. per savaitę) arba nuo 49 d. d. (jeigu dirbama 6 d. d. per savaitę) kasmetinių atostogų</w:t>
                          </w:r>
                        </w:p>
                      </w:tc>
                      <w:tc>
                        <w:tcPr>
                          <w:tcW w:w="1872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Projektą vykdančio personalo darbo užmokesčio išlaidos už kasmetines atostogas, kurios apskaičiuojamos nuo tinkamų finansuoti faktiškai</w:t>
                          </w:r>
                          <w:r>
                            <w:rPr>
                              <w:sz w:val="20"/>
                            </w:rPr>
                            <w:t xml:space="preserve"> patirtų vykdančiojo personalo darbo užmokesčio išlaidų</w:t>
                          </w:r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10.11. 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  <w:lang w:val="en-GB"/>
                            </w:rPr>
                          </w:pPr>
                          <w:r>
                            <w:rPr>
                              <w:sz w:val="20"/>
                            </w:rPr>
                            <w:t>0</w:t>
                          </w:r>
                          <w:r>
                            <w:rPr>
                              <w:sz w:val="20"/>
                              <w:lang w:val="en-GB"/>
                            </w:rPr>
                            <w:t>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nčio personalo kelionės į užsienį fiksuotasis vieneto įkainis, kai kelionės į vieną pusę atstumas neviršija 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23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10.12. Projekto dalyvio ir (arba) projektą vykdančio personalo vieno asmens kelionės į užsienį, t. y. vykimo į užsienį</w:t>
                          </w:r>
                          <w:r>
                            <w:rPr>
                              <w:sz w:val="20"/>
                            </w:rPr>
                            <w:t xml:space="preserve">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100 km iki 499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180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10.13. Projekto dalyvio</w:t>
                          </w:r>
                          <w:r>
                            <w:rPr>
                              <w:sz w:val="20"/>
                            </w:rPr>
                            <w:t xml:space="preserve">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FĮ-32-03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eną pusę atstumas siekia nuo 500 km iki 1 999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275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10.14. 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FĮ-32-04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a) projektą vykdančio personalo kelionės į užsienį fiksuotasis vieneto įkainis, kai kelionės į vieną pusę atstumas siekia nuo 2 000 km iki 2 999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360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10.15. Projekto dalyvio ir (arba) projektą vykdančio personalo vieno asmens </w:t>
                          </w:r>
                          <w:r>
                            <w:rPr>
                              <w:sz w:val="20"/>
                            </w:rPr>
                            <w:t>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FĮ-32-05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nuo 3 000 km iki 3 999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</w:t>
                          </w: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laidų dydis – 530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10.16. Projekto dalyvio ir (arba) projektą vykdančio personalo vieno asmens kelionės į užsienį, t. y. vykimo į užsienį ir grįžimo iš 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FĮ-32-06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 xml:space="preserve">Projekto dalyvio ir (arba) projektą vykdančio personalo kelionės į užsienį 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fiksuotasis vieneto įkainis, kai kelionės į vieną pusę atstumas siekia nuo 4 000 km iki 7 999 km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820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10.17. Projekto dalyvio ir (arba) projektą vykdančio personalo vieno asmens kelionės į užsienį, t. y. vykimo į užsienį ir grįžimo iš </w:t>
                          </w:r>
                          <w:r>
                            <w:rPr>
                              <w:sz w:val="20"/>
                            </w:rPr>
                            <w:t>jo, išlaidos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FĮ-32-07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  <w:vAlign w:val="center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Projekto dalyvio ir (arba) projektą vykdančio personalo kelionės į užsienį fiksuotasis vieneto įkainis, kai kelionės į vieną pusę atstumas siekia 8 000 km ir daugiau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1500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10.18. Fiksuotuosius vieneto įkainius s</w:t>
                          </w:r>
                          <w:r>
                            <w:rPr>
                              <w:sz w:val="20"/>
                            </w:rPr>
                            <w:t>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FĮ-34-01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 xml:space="preserve"> komandiruotė trunka dvi ir daugiau dienų), kai vykstama į šalį, nustatytą 1-oje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134,53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10.19. Fiksuotuosius vieneto įkainius sudaro darbuotojo gyvenamojo ploto nuomos užsienyje išlaidos, dienpinigiai ir kitos su </w:t>
                          </w:r>
                          <w:r>
                            <w:rPr>
                              <w:sz w:val="20"/>
                            </w:rPr>
                            <w:t>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FĮ-34-02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2-oje šalių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 xml:space="preserve">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153,73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10.20. Fiksuotuosius vieneto įkainius sudaro darbuotojo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FĮ-34-03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3-oje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175,7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10.21. Fiksuotuosius vieneto įkainius sudaro darb</w:t>
                          </w:r>
                          <w:r>
                            <w:rPr>
                              <w:sz w:val="20"/>
                            </w:rPr>
                            <w:t>uotojo gyvenamojo ploto nuomos užsienyje išlaidos,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FĮ-34-04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otė trunka dvi ir daugiau dienų), kai vykstama į šalį, nustatytą 4-oje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188,75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10.22. Fiksuotuosius vieneto įkainius sudaro darbuotojo gyvenamojo ploto nuomos užsienyje išlaidos, dienpinigiai ir kitos su komandiruote </w:t>
                          </w:r>
                          <w:r>
                            <w:rPr>
                              <w:sz w:val="20"/>
                            </w:rPr>
                            <w:t>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FĮ-34-05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vienos dienos, praleistos komandiruotėje, fiksuotasis vieneto įkainis (kai komandiruotė trunka dvi ir daugiau dienų), kai vykstama į šalį, nustatytą 5-oje šalių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Išla</w:t>
                          </w: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idų dydis – 211,55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10.23. 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FĮ-34-06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uotė trunka vieną dieną), kai vykstama į šalį, nustatytą 6-oje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78,61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10.24. 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FĮ-34-07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7-oje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89,61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10.25. Fiksuotuosius vieneto įkainius sudaro darbuotojo dienpinigiai ir kitos su</w:t>
                          </w:r>
                          <w:r>
                            <w:rPr>
                              <w:sz w:val="20"/>
                            </w:rPr>
                            <w:t xml:space="preserve">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FĮ-34-08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dieną), kai vykstama į šalį, nustatytą 8-oje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101,11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10.26. 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FĮ-34-09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komandiruotės fiksuotasis vieneto įkainis (kai komandiruotė trunka vieną dieną)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, kai vykstama į šalį, nustatytą 9-oje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108,11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</w:p>
                      </w:tc>
                    </w:tr>
                    <w:tr w:rsidR="00AA2E8D">
                      <w:tc>
                        <w:tcPr>
                          <w:tcW w:w="2205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10.27. Fiksuotuosius vieneto įkainius sudaro darbuotojo dienpinigiai ir kitos su komandiruote susijusios būtinosios išlaidos, patirtos komandiruočių metu</w:t>
                          </w:r>
                        </w:p>
                      </w:tc>
                      <w:tc>
                        <w:tcPr>
                          <w:tcW w:w="1610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FĮ-34-10</w:t>
                          </w:r>
                        </w:p>
                      </w:tc>
                      <w:tc>
                        <w:tcPr>
                          <w:tcW w:w="1610" w:type="dxa"/>
                        </w:tcPr>
                        <w:p w:rsidR="00AA2E8D" w:rsidRDefault="0007406D">
                          <w:pPr>
                            <w:jc w:val="center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01</w:t>
                          </w:r>
                        </w:p>
                      </w:tc>
                      <w:tc>
                        <w:tcPr>
                          <w:tcW w:w="2087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Darbuotojo koma</w:t>
                          </w:r>
                          <w:r>
                            <w:rPr>
                              <w:color w:val="000000"/>
                              <w:sz w:val="20"/>
                            </w:rPr>
                            <w:t>ndiruotės fiksuotasis vieneto įkainis (kai komandiruotė trunka vieną dieną), kai vykstama į šalį, nustatytą 10-oje grupėje</w:t>
                          </w:r>
                        </w:p>
                      </w:tc>
                      <w:tc>
                        <w:tcPr>
                          <w:tcW w:w="1872" w:type="dxa"/>
                          <w:tcBorders>
                            <w:top w:val="nil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</w:tcBorders>
                          <w:shd w:val="clear" w:color="auto" w:fill="auto"/>
                        </w:tcPr>
                        <w:p w:rsidR="00AA2E8D" w:rsidRDefault="0007406D">
                          <w:pPr>
                            <w:jc w:val="center"/>
                            <w:rPr>
                              <w:bCs/>
                              <w:color w:val="000000"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 xml:space="preserve">Išlaidų dydis – 119,11 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Eur</w:t>
                          </w:r>
                          <w:proofErr w:type="spellEnd"/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“</w:t>
                          </w:r>
                        </w:p>
                      </w:tc>
                    </w:tr>
                  </w:tbl>
                  <w:p w:rsidR="00AA2E8D" w:rsidRDefault="00AA2E8D">
                    <w:pPr>
                      <w:jc w:val="both"/>
                      <w:rPr>
                        <w:iCs/>
                        <w:sz w:val="22"/>
                        <w:szCs w:val="22"/>
                      </w:rPr>
                    </w:pPr>
                  </w:p>
                </w:tc>
              </w:tr>
            </w:tbl>
            <w:p w:rsidR="00AA2E8D" w:rsidRDefault="00AA2E8D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  <w:p w:rsidR="00AA2E8D" w:rsidRDefault="00AA2E8D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  <w:p w:rsidR="00AA2E8D" w:rsidRDefault="0007406D">
              <w:pPr>
                <w:overflowPunct w:val="0"/>
                <w:ind w:left="709"/>
                <w:jc w:val="both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1b25c3b10b60427cac783fdc1b47a4f5"/>
            <w:id w:val="1975637250"/>
            <w:lock w:val="sdtLocked"/>
          </w:sdtPr>
          <w:sdtEndPr/>
          <w:sdtContent>
            <w:bookmarkStart w:id="0" w:name="_GoBack" w:displacedByCustomXml="prev"/>
            <w:p w:rsidR="00AA2E8D" w:rsidRDefault="0007406D">
              <w:pPr>
                <w:overflowPunct w:val="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Gintautas Jakštas</w:t>
              </w:r>
            </w:p>
            <w:p w:rsidR="00AA2E8D" w:rsidRDefault="00AA2E8D">
              <w:pPr>
                <w:spacing w:line="259" w:lineRule="auto"/>
                <w:rPr>
                  <w:sz w:val="22"/>
                  <w:szCs w:val="22"/>
                </w:rPr>
              </w:pPr>
            </w:p>
            <w:p w:rsidR="00AA2E8D" w:rsidRDefault="00AA2E8D">
              <w:pPr>
                <w:rPr>
                  <w:sz w:val="14"/>
                  <w:szCs w:val="14"/>
                </w:rPr>
              </w:pPr>
            </w:p>
            <w:p w:rsidR="00AA2E8D" w:rsidRDefault="00AA2E8D">
              <w:pPr>
                <w:spacing w:line="259" w:lineRule="auto"/>
                <w:rPr>
                  <w:sz w:val="22"/>
                  <w:szCs w:val="22"/>
                </w:rPr>
              </w:pPr>
            </w:p>
            <w:p w:rsidR="00AA2E8D" w:rsidRDefault="00AA2E8D">
              <w:pPr>
                <w:rPr>
                  <w:sz w:val="14"/>
                  <w:szCs w:val="14"/>
                </w:rPr>
              </w:pPr>
            </w:p>
            <w:p w:rsidR="00AA2E8D" w:rsidRDefault="0007406D">
              <w:pPr>
                <w:spacing w:line="259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SUDERINTA</w:t>
              </w:r>
            </w:p>
            <w:p w:rsidR="00AA2E8D" w:rsidRDefault="00AA2E8D">
              <w:pPr>
                <w:rPr>
                  <w:sz w:val="2"/>
                  <w:szCs w:val="2"/>
                </w:rPr>
              </w:pPr>
            </w:p>
            <w:p w:rsidR="00AA2E8D" w:rsidRDefault="0007406D">
              <w:pPr>
                <w:spacing w:line="259" w:lineRule="auto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Viešosios įstaigos Centrinės projektų </w:t>
              </w:r>
            </w:p>
            <w:p w:rsidR="00AA2E8D" w:rsidRDefault="0007406D">
              <w:pPr>
                <w:spacing w:line="259" w:lineRule="auto"/>
                <w:jc w:val="both"/>
                <w:rPr>
                  <w:color w:val="000000"/>
                  <w:szCs w:val="24"/>
                  <w:lang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 xml:space="preserve">valdymo agentūros 2023-08-07 raštu </w:t>
              </w:r>
            </w:p>
            <w:p w:rsidR="00AA2E8D" w:rsidRDefault="0007406D">
              <w:pPr>
                <w:spacing w:line="259" w:lineRule="auto"/>
                <w:jc w:val="both"/>
                <w:rPr>
                  <w:color w:val="000000"/>
                  <w:szCs w:val="24"/>
                  <w:lang w:val="en-GB" w:eastAsia="en-GB"/>
                </w:rPr>
              </w:pPr>
              <w:r>
                <w:rPr>
                  <w:color w:val="000000"/>
                  <w:szCs w:val="24"/>
                  <w:lang w:eastAsia="en-GB"/>
                </w:rPr>
                <w:t>Nr. 2023/2-5800</w:t>
              </w:r>
            </w:p>
            <w:bookmarkEnd w:id="0" w:displacedByCustomXml="next"/>
          </w:sdtContent>
        </w:sdt>
      </w:sdtContent>
    </w:sdt>
    <w:sectPr w:rsidR="00AA2E8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289" w:footer="720" w:gutter="0"/>
      <w:pgNumType w:start="1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2E8D" w:rsidRDefault="0007406D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AA2E8D" w:rsidRDefault="0007406D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07406D">
    <w:pPr>
      <w:framePr w:wrap="auto" w:vAnchor="text" w:hAnchor="margin" w:xAlign="right" w:y="1"/>
      <w:tabs>
        <w:tab w:val="center" w:pos="4513"/>
        <w:tab w:val="right" w:pos="9026"/>
      </w:tabs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 xml:space="preserve">PAGE  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  <w:lang w:val="en-GB"/>
      </w:rPr>
      <w:t>6</w:t>
    </w:r>
    <w:r>
      <w:rPr>
        <w:sz w:val="22"/>
        <w:szCs w:val="22"/>
        <w:lang w:val="en-GB"/>
      </w:rPr>
      <w:fldChar w:fldCharType="end"/>
    </w:r>
  </w:p>
  <w:p w:rsidR="00AA2E8D" w:rsidRDefault="00AA2E8D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AA2E8D">
    <w:pPr>
      <w:tabs>
        <w:tab w:val="center" w:pos="4513"/>
        <w:tab w:val="right" w:pos="9026"/>
      </w:tabs>
      <w:ind w:right="360"/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AA2E8D">
    <w:pPr>
      <w:tabs>
        <w:tab w:val="center" w:pos="4513"/>
        <w:tab w:val="right" w:pos="9026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2E8D" w:rsidRDefault="0007406D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AA2E8D" w:rsidRDefault="0007406D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AA2E8D">
    <w:pPr>
      <w:tabs>
        <w:tab w:val="center" w:pos="4513"/>
        <w:tab w:val="right" w:pos="9026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07406D">
    <w:pPr>
      <w:tabs>
        <w:tab w:val="center" w:pos="4513"/>
        <w:tab w:val="right" w:pos="9026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>PAGE   \* MERGEFORMAT</w:instrText>
    </w:r>
    <w:r>
      <w:rPr>
        <w:szCs w:val="24"/>
        <w:lang w:val="en-GB"/>
      </w:rPr>
      <w:fldChar w:fldCharType="separate"/>
    </w:r>
    <w:r w:rsidRPr="0007406D">
      <w:rPr>
        <w:noProof/>
        <w:szCs w:val="24"/>
      </w:rPr>
      <w:t>6</w:t>
    </w:r>
    <w:r>
      <w:rPr>
        <w:szCs w:val="24"/>
        <w:lang w:val="en-GB"/>
      </w:rPr>
      <w:fldChar w:fldCharType="end"/>
    </w:r>
  </w:p>
  <w:p w:rsidR="00AA2E8D" w:rsidRDefault="00AA2E8D">
    <w:pPr>
      <w:tabs>
        <w:tab w:val="center" w:pos="4513"/>
        <w:tab w:val="right" w:pos="9026"/>
      </w:tabs>
      <w:jc w:val="center"/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2E8D" w:rsidRDefault="00AA2E8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912"/>
    <w:rsid w:val="0007406D"/>
    <w:rsid w:val="00172912"/>
    <w:rsid w:val="00AA2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8433"/>
    <o:shapelayout v:ext="edit">
      <o:idmap v:ext="edit" data="1"/>
    </o:shapelayout>
  </w:shapeDefaults>
  <w:decimalSymbol w:val=","/>
  <w:listSeparator w:val=";"/>
  <w15:docId w15:val="{52AEB679-3FA8-4B89-AF04-C2B885A22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145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587415f26b244b194deb39924fa844e" PartId="c8cf7a2964544a17bcb1909051cfdf7a">
    <Part Type="preambule" DocPartId="6109a0c68361474998a876ed1a7584c1" PartId="1d38c009d52a45109b5aadcaa5573577"/>
    <Part Type="lentele" DocPartId="9a9c56ead97a4b4198ab4aff396ca5f4" PartId="6877e0552557457985177aa86a03ec38"/>
    <Part Type="signatura" DocPartId="50a026fb0a9e4044956242ac7803e78b" PartId="1b25c3b10b60427cac783fdc1b47a4f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6366B-C367-4160-A828-B205153B99E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C12ABED-6457-4994-80EA-88EF52127B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8115</Words>
  <Characters>4627</Characters>
  <Application>Microsoft Office Word</Application>
  <DocSecurity>0</DocSecurity>
  <Lines>38</Lines>
  <Paragraphs>25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Čepas Vytautas | ŠMSM</dc:creator>
  <cp:lastModifiedBy>ŠAULYTĖ SKAIRIENĖ Dalia</cp:lastModifiedBy>
  <cp:revision>3</cp:revision>
  <cp:lastPrinted>2023-01-30T08:47:00Z</cp:lastPrinted>
  <dcterms:created xsi:type="dcterms:W3CDTF">2023-08-11T07:36:00Z</dcterms:created>
  <dcterms:modified xsi:type="dcterms:W3CDTF">2023-08-11T07:39:00Z</dcterms:modified>
</cp:coreProperties>
</file>