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620434a291a4951b2bba1d3ba5ef6b5"/>
        <w:id w:val="-59020897"/>
        <w:lock w:val="sdtLocked"/>
      </w:sdtPr>
      <w:sdtEndPr/>
      <w:sdtContent>
        <w:p w14:paraId="31E8AB3D" w14:textId="14E9FFF6" w:rsidR="00036FFB" w:rsidRDefault="007D44B9" w:rsidP="007D44B9">
          <w:pPr>
            <w:tabs>
              <w:tab w:val="center" w:pos="4819"/>
              <w:tab w:val="right" w:pos="9638"/>
            </w:tabs>
            <w:jc w:val="center"/>
            <w:rPr>
              <w:b/>
              <w:szCs w:val="24"/>
              <w:lang w:eastAsia="lt-LT"/>
            </w:rPr>
          </w:pPr>
          <w:r>
            <w:rPr>
              <w:noProof/>
              <w:lang w:eastAsia="lt-LT"/>
            </w:rPr>
            <w:drawing>
              <wp:inline distT="0" distB="0" distL="0" distR="0" wp14:anchorId="5FDA4128" wp14:editId="53027A77">
                <wp:extent cx="543560" cy="595630"/>
                <wp:effectExtent l="0" t="0" r="8890" b="0"/>
                <wp:docPr id="1" name="Picture 2" descr="Logo  Description automatically generated"/>
                <wp:cNvGraphicFramePr/>
                <a:graphic xmlns:a="http://schemas.openxmlformats.org/drawingml/2006/main">
                  <a:graphicData uri="http://schemas.openxmlformats.org/drawingml/2006/picture">
                    <pic:pic xmlns:pic="http://schemas.openxmlformats.org/drawingml/2006/picture">
                      <pic:nvPicPr>
                        <pic:cNvPr id="6" name="Picture 2" descr="Logo  Description automatically generated"/>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44AA2542" w14:textId="77777777" w:rsidR="00036FFB" w:rsidRDefault="007D44B9">
          <w:pPr>
            <w:jc w:val="center"/>
            <w:rPr>
              <w:b/>
              <w:szCs w:val="24"/>
              <w:lang w:eastAsia="lt-LT"/>
            </w:rPr>
          </w:pPr>
          <w:bookmarkStart w:id="0" w:name="_GoBack"/>
          <w:bookmarkEnd w:id="0"/>
          <w:r>
            <w:rPr>
              <w:b/>
              <w:szCs w:val="24"/>
              <w:lang w:eastAsia="lt-LT"/>
            </w:rPr>
            <w:t>VALSTYBINĖ ENERGETIKOS REGULIAVIMO TARYBA</w:t>
          </w:r>
        </w:p>
        <w:p w14:paraId="4E642081" w14:textId="77777777" w:rsidR="00036FFB" w:rsidRDefault="00036FFB">
          <w:pPr>
            <w:jc w:val="center"/>
            <w:rPr>
              <w:b/>
              <w:szCs w:val="24"/>
              <w:lang w:eastAsia="lt-LT"/>
            </w:rPr>
          </w:pPr>
        </w:p>
        <w:p w14:paraId="723FD24C" w14:textId="77777777" w:rsidR="00036FFB" w:rsidRDefault="007D44B9">
          <w:pPr>
            <w:jc w:val="center"/>
            <w:rPr>
              <w:b/>
              <w:caps/>
            </w:rPr>
          </w:pPr>
          <w:r>
            <w:rPr>
              <w:b/>
              <w:caps/>
            </w:rPr>
            <w:t>NUTARIMAS</w:t>
          </w:r>
        </w:p>
        <w:p w14:paraId="60CFD1C9" w14:textId="77777777" w:rsidR="00036FFB" w:rsidRDefault="007D44B9">
          <w:pPr>
            <w:jc w:val="center"/>
            <w:rPr>
              <w:b/>
              <w:bCs/>
              <w:caps/>
            </w:rPr>
          </w:pPr>
          <w:r>
            <w:rPr>
              <w:b/>
              <w:bCs/>
              <w:caps/>
            </w:rPr>
            <w:t xml:space="preserve">Dėl Valstybinės ENERGETIKOS REGULIAVIMO TARYBOS 2015 m. sausio 15 d. nutarimo Nr. O3-3 „Dėl Elektros energijos perdavimo, skirstymo ir visuomeninio tiekimo paslaugų bei visuomeninės kainos </w:t>
          </w:r>
          <w:r>
            <w:rPr>
              <w:b/>
              <w:bCs/>
              <w:caps/>
            </w:rPr>
            <w:t>viršutinės ribos nustatymo metodikos patvirtinimo“ pakeitimo</w:t>
          </w:r>
        </w:p>
        <w:p w14:paraId="53DF72ED" w14:textId="77777777" w:rsidR="00036FFB" w:rsidRDefault="00036FFB">
          <w:pPr>
            <w:jc w:val="center"/>
            <w:rPr>
              <w:szCs w:val="24"/>
              <w:lang w:eastAsia="lt-LT"/>
            </w:rPr>
          </w:pPr>
        </w:p>
        <w:p w14:paraId="5799AE97" w14:textId="02A5B159" w:rsidR="00036FFB" w:rsidRDefault="007D44B9">
          <w:pPr>
            <w:jc w:val="center"/>
            <w:rPr>
              <w:szCs w:val="24"/>
              <w:lang w:eastAsia="lt-LT"/>
            </w:rPr>
          </w:pPr>
          <w:r w:rsidRPr="007D44B9">
            <w:rPr>
              <w:szCs w:val="24"/>
              <w:lang w:eastAsia="lt-LT"/>
            </w:rPr>
            <w:t xml:space="preserve">2022 m. gegužės 26 d. </w:t>
          </w:r>
          <w:r>
            <w:rPr>
              <w:szCs w:val="24"/>
              <w:lang w:eastAsia="lt-LT"/>
            </w:rPr>
            <w:t xml:space="preserve">Nr. </w:t>
          </w:r>
          <w:r w:rsidRPr="007D44B9">
            <w:rPr>
              <w:szCs w:val="24"/>
              <w:lang w:eastAsia="lt-LT"/>
            </w:rPr>
            <w:t>O3E-746</w:t>
          </w:r>
        </w:p>
        <w:p w14:paraId="3DCBB125" w14:textId="176EB677" w:rsidR="00036FFB" w:rsidRDefault="007D44B9">
          <w:pPr>
            <w:jc w:val="center"/>
            <w:rPr>
              <w:szCs w:val="24"/>
              <w:lang w:eastAsia="lt-LT"/>
            </w:rPr>
          </w:pPr>
          <w:r>
            <w:rPr>
              <w:szCs w:val="24"/>
              <w:lang w:eastAsia="lt-LT"/>
            </w:rPr>
            <w:t>Vilnius</w:t>
          </w:r>
        </w:p>
        <w:p w14:paraId="0D5ABC97" w14:textId="77777777" w:rsidR="00036FFB" w:rsidRDefault="00036FFB">
          <w:pPr>
            <w:jc w:val="center"/>
            <w:rPr>
              <w:szCs w:val="24"/>
              <w:lang w:eastAsia="lt-LT"/>
            </w:rPr>
          </w:pPr>
        </w:p>
        <w:sdt>
          <w:sdtPr>
            <w:alias w:val="preambule"/>
            <w:tag w:val="part_e487773b98bf499f9dabf84a8b1a3df2"/>
            <w:id w:val="-1403672040"/>
            <w:lock w:val="sdtLocked"/>
          </w:sdtPr>
          <w:sdtEndPr/>
          <w:sdtContent>
            <w:p w14:paraId="2850CD9D" w14:textId="678C70BD" w:rsidR="00036FFB" w:rsidRDefault="007D44B9">
              <w:pPr>
                <w:ind w:firstLine="709"/>
                <w:jc w:val="both"/>
                <w:rPr>
                  <w:szCs w:val="24"/>
                  <w:lang w:eastAsia="lt-LT"/>
                </w:rPr>
              </w:pPr>
              <w:r>
                <w:rPr>
                  <w:szCs w:val="24"/>
                  <w:lang w:eastAsia="lt-LT"/>
                </w:rPr>
                <w:t xml:space="preserve">Vadovaudamasi Lietuvos Respublikos energetikos įstatymo 8 straipsnio 11 dalies 2 punktu, Lietuvos Respublikos elektros energetikos įstatymo 9 straipsnio 3 </w:t>
              </w:r>
              <w:r>
                <w:rPr>
                  <w:szCs w:val="24"/>
                  <w:lang w:eastAsia="lt-LT"/>
                </w:rPr>
                <w:t xml:space="preserve">dalies 4 punktu, </w:t>
              </w:r>
              <w:r>
                <w:rPr>
                  <w:szCs w:val="24"/>
                </w:rPr>
                <w:t>67 straipsnio 2 </w:t>
              </w:r>
              <w:r>
                <w:rPr>
                  <w:szCs w:val="24"/>
                </w:rPr>
                <w:t xml:space="preserve">dalimi </w:t>
              </w:r>
              <w:r>
                <w:rPr>
                  <w:szCs w:val="24"/>
                  <w:lang w:eastAsia="lt-LT"/>
                </w:rPr>
                <w:t>bei atsižvelgdama į Valstybinės energetikos reguliavimo tarybos (toliau – Taryba) Dujų ir elektros departamento Elektros skyriaus</w:t>
              </w:r>
              <w:r>
                <w:rPr>
                  <w:color w:val="7030A0"/>
                  <w:szCs w:val="24"/>
                  <w:lang w:eastAsia="lt-LT"/>
                </w:rPr>
                <w:t xml:space="preserve"> </w:t>
              </w:r>
              <w:r>
                <w:rPr>
                  <w:szCs w:val="24"/>
                  <w:lang w:eastAsia="lt-LT"/>
                </w:rPr>
                <w:t xml:space="preserve">2022 m. gegužės 24 d. pažymą Nr. O5E-701 </w:t>
              </w:r>
              <w:r>
                <w:rPr>
                  <w:spacing w:val="-2"/>
                  <w:szCs w:val="24"/>
                </w:rPr>
                <w:t xml:space="preserve">„Dėl </w:t>
              </w:r>
              <w:r>
                <w:rPr>
                  <w:szCs w:val="24"/>
                </w:rPr>
                <w:t>Valstybinės energetikos reguliavimo tar</w:t>
              </w:r>
              <w:r>
                <w:rPr>
                  <w:szCs w:val="24"/>
                </w:rPr>
                <w:t xml:space="preserve">ybos </w:t>
              </w:r>
              <w:r>
                <w:rPr>
                  <w:spacing w:val="-2"/>
                  <w:szCs w:val="24"/>
                </w:rPr>
                <w:t xml:space="preserve">2015 m. sausio 15 d. nutarimo Nr. O3-3 „Dėl Elektros energijos perdavimo, skirstymo ir visuomeninio tiekimo paslaugų bei visuomeninės kainos viršutinės ribos nustatymo metodikos patvirtinimo“ </w:t>
              </w:r>
              <w:r>
                <w:rPr>
                  <w:lang w:eastAsia="lt-LT"/>
                </w:rPr>
                <w:t>pakeitimo</w:t>
              </w:r>
              <w:r>
                <w:t xml:space="preserve">“ </w:t>
              </w:r>
              <w:r>
                <w:rPr>
                  <w:szCs w:val="18"/>
                  <w:lang w:eastAsia="lt-LT"/>
                </w:rPr>
                <w:t>Taryba n u t a r i a:</w:t>
              </w:r>
            </w:p>
          </w:sdtContent>
        </w:sdt>
        <w:sdt>
          <w:sdtPr>
            <w:alias w:val="pastraipa"/>
            <w:tag w:val="part_ef7cca351cc243ad8fb8a3505efe815a"/>
            <w:id w:val="-1250803726"/>
            <w:lock w:val="sdtLocked"/>
          </w:sdtPr>
          <w:sdtEndPr/>
          <w:sdtContent>
            <w:p w14:paraId="3A790F9C" w14:textId="57DA02B4" w:rsidR="00036FFB" w:rsidRDefault="007D44B9">
              <w:pPr>
                <w:tabs>
                  <w:tab w:val="left" w:pos="993"/>
                </w:tabs>
                <w:ind w:firstLine="709"/>
                <w:jc w:val="both"/>
              </w:pPr>
              <w:r>
                <w:rPr>
                  <w:szCs w:val="18"/>
                </w:rPr>
                <w:t xml:space="preserve">Pakeisti </w:t>
              </w:r>
              <w:r>
                <w:t>Elektros energi</w:t>
              </w:r>
              <w:r>
                <w:t xml:space="preserve">jos perdavimo, skirstymo ir visuomeninio tiekimo paslaugų bei visuomeninės kainos viršutinės ribos nustatymo metodiką, patvirtintą </w:t>
              </w:r>
              <w:r>
                <w:rPr>
                  <w:szCs w:val="24"/>
                </w:rPr>
                <w:t xml:space="preserve">Tarybos </w:t>
              </w:r>
              <w:r>
                <w:t xml:space="preserve">2015 m. sausio 15 d. nutarimu Nr. O3-3 </w:t>
              </w:r>
              <w:r>
                <w:rPr>
                  <w:szCs w:val="18"/>
                </w:rPr>
                <w:t>„</w:t>
              </w:r>
              <w:r>
                <w:t xml:space="preserve">Dėl Elektros energijos perdavimo, skirstymo ir visuomeninio tiekimo paslaugų </w:t>
              </w:r>
              <w:r>
                <w:t>bei visuomeninės kainos viršutinės ribos nustatymo metodikos patvirtinimo“ (toliau – Metodika):</w:t>
              </w:r>
            </w:p>
          </w:sdtContent>
        </w:sdt>
        <w:sdt>
          <w:sdtPr>
            <w:alias w:val="1 p."/>
            <w:tag w:val="part_c7936bb911f248a092bb1fd6298e76bc"/>
            <w:id w:val="1512176386"/>
            <w:lock w:val="sdtLocked"/>
          </w:sdtPr>
          <w:sdtEndPr/>
          <w:sdtContent>
            <w:p w14:paraId="2B44561C" w14:textId="599EA2D3" w:rsidR="00036FFB" w:rsidRDefault="007D44B9">
              <w:pPr>
                <w:tabs>
                  <w:tab w:val="left" w:pos="993"/>
                </w:tabs>
                <w:ind w:left="1080" w:hanging="360"/>
                <w:jc w:val="both"/>
              </w:pPr>
              <w:sdt>
                <w:sdtPr>
                  <w:alias w:val="Numeris"/>
                  <w:tag w:val="nr_c7936bb911f248a092bb1fd6298e76bc"/>
                  <w:id w:val="1869327506"/>
                  <w:lock w:val="sdtLocked"/>
                </w:sdtPr>
                <w:sdtEndPr/>
                <w:sdtContent>
                  <w:r>
                    <w:t>1</w:t>
                  </w:r>
                </w:sdtContent>
              </w:sdt>
              <w:r>
                <w:t>.</w:t>
              </w:r>
              <w:r>
                <w:tab/>
                <w:t xml:space="preserve">Pakeisti 96 punktą ir </w:t>
              </w:r>
              <w:r>
                <w:rPr>
                  <w:color w:val="000000"/>
                  <w:szCs w:val="24"/>
                  <w:lang w:eastAsia="lt-LT"/>
                </w:rPr>
                <w:t>jį išdėstyti taip:</w:t>
              </w:r>
            </w:p>
            <w:sdt>
              <w:sdtPr>
                <w:alias w:val="citata"/>
                <w:tag w:val="part_a999aa53d2fe44c29ff0ba73ed02a3dd"/>
                <w:id w:val="154188297"/>
                <w:lock w:val="sdtLocked"/>
              </w:sdtPr>
              <w:sdtEndPr/>
              <w:sdtContent>
                <w:sdt>
                  <w:sdtPr>
                    <w:alias w:val="96 p."/>
                    <w:tag w:val="part_20a56172fac244608240d08b719cc0bc"/>
                    <w:id w:val="75485845"/>
                    <w:lock w:val="sdtLocked"/>
                  </w:sdtPr>
                  <w:sdtEndPr/>
                  <w:sdtContent>
                    <w:p w14:paraId="3A4FF997" w14:textId="75847666" w:rsidR="00036FFB" w:rsidRDefault="007D44B9">
                      <w:pPr>
                        <w:spacing w:line="252" w:lineRule="auto"/>
                        <w:ind w:firstLine="709"/>
                        <w:jc w:val="both"/>
                        <w:rPr>
                          <w:szCs w:val="24"/>
                        </w:rPr>
                      </w:pPr>
                      <w:r>
                        <w:rPr>
                          <w:szCs w:val="24"/>
                        </w:rPr>
                        <w:t>„</w:t>
                      </w:r>
                      <w:sdt>
                        <w:sdtPr>
                          <w:alias w:val="Numeris"/>
                          <w:tag w:val="nr_20a56172fac244608240d08b719cc0bc"/>
                          <w:id w:val="-1269685155"/>
                          <w:lock w:val="sdtLocked"/>
                        </w:sdtPr>
                        <w:sdtEnd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w:t>
                      </w:r>
                      <w:r>
                        <w:rPr>
                          <w:color w:val="000000"/>
                        </w:rPr>
                        <w:t>ytų ir prognozuojamų kainų už likusį laikotarpį, kuriam galioja nustatyti visuomeniniai elektros energijos tarifai, Tarybos sprendimais numatytų ir visuomeninio tiekėjo faktiškai pagrįstų sąnaudų, patirtų iki 2022 m. gruodžio 31 d. (įskaitant ir pinigų kai</w:t>
                      </w:r>
                      <w:r>
                        <w:rPr>
                          <w:color w:val="000000"/>
                        </w:rPr>
                        <w:t xml:space="preserve">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suvartotos elektros energijos išlaidų dalinio kompensavimo buitiniams vartotojams, apskaičiavimo ir išmokėji</w:t>
                      </w:r>
                      <w:r>
                        <w:rPr>
                          <w:color w:val="000000"/>
                        </w:rPr>
                        <w:t xml:space="preserve">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w:t>
                      </w:r>
                      <w:r>
                        <w:rPr>
                          <w:szCs w:val="24"/>
                        </w:rPr>
                        <w:t>inos buitiniams vartotojams papildoma dedamoji (</w:t>
                      </w:r>
                      <w:proofErr w:type="spellStart"/>
                      <w:r>
                        <w:rPr>
                          <w:i/>
                          <w:szCs w:val="24"/>
                          <w:lang w:eastAsia="lt-LT"/>
                        </w:rPr>
                        <w:t>ST</w:t>
                      </w:r>
                      <w:r>
                        <w:rPr>
                          <w:i/>
                          <w:szCs w:val="24"/>
                          <w:vertAlign w:val="subscript"/>
                          <w:lang w:eastAsia="lt-LT"/>
                        </w:rPr>
                        <w:t>t</w:t>
                      </w:r>
                      <w:proofErr w:type="spellEnd"/>
                      <w:r>
                        <w:rPr>
                          <w:szCs w:val="24"/>
                        </w:rPr>
                        <w:t>) apskaičiuojama pagal formulę:</w:t>
                      </w:r>
                    </w:p>
                    <w:p w14:paraId="30C5EA73" w14:textId="77777777" w:rsidR="00036FFB" w:rsidRDefault="00036FFB">
                      <w:pPr>
                        <w:spacing w:line="252" w:lineRule="auto"/>
                        <w:ind w:firstLine="709"/>
                        <w:jc w:val="both"/>
                        <w:rPr>
                          <w:szCs w:val="24"/>
                          <w:lang w:val="en-US"/>
                        </w:rPr>
                      </w:pPr>
                    </w:p>
                    <w:p w14:paraId="555ED5FE" w14:textId="30DF5064" w:rsidR="00036FFB" w:rsidRDefault="007D44B9">
                      <w:pPr>
                        <w:tabs>
                          <w:tab w:val="left" w:pos="1134"/>
                        </w:tabs>
                        <w:spacing w:line="252" w:lineRule="auto"/>
                        <w:ind w:firstLine="186"/>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t</m:t>
                                    </m:r>
                                    <m:r>
                                      <w:rPr>
                                        <w:rFonts w:ascii="Cambria Math" w:hAnsi="Cambria Math"/>
                                        <w:szCs w:val="24"/>
                                      </w:rPr>
                                      <m:t xml:space="preserve"> </m:t>
                                    </m:r>
                                  </m:sub>
                                </m:sSub>
                                <m:r>
                                  <w:rPr>
                                    <w:rFonts w:ascii="Cambria Math" w:hAnsi="Cambria Math"/>
                                    <w:szCs w:val="24"/>
                                  </w:rPr>
                                  <m:t>-</m:t>
                                </m:r>
                                <m:r>
                                  <w:rPr>
                                    <w:rFonts w:ascii="Cambria Math" w:hAnsi="Cambria Math"/>
                                    <w:szCs w:val="24"/>
                                  </w:rPr>
                                  <m:t>P</m:t>
                                </m:r>
                              </m:e>
                              <m:sub>
                                <m:r>
                                  <w:rPr>
                                    <w:rFonts w:ascii="Cambria Math" w:hAnsi="Cambria Math"/>
                                    <w:szCs w:val="24"/>
                                  </w:rPr>
                                  <m:t>t</m:t>
                                </m:r>
                                <m:r>
                                  <w:rPr>
                                    <w:rFonts w:ascii="Cambria Math" w:hAnsi="Cambria Math"/>
                                    <w:szCs w:val="24"/>
                                  </w:rPr>
                                  <m:t xml:space="preserve"> </m:t>
                                </m:r>
                              </m:sub>
                            </m:sSub>
                            <m:r>
                              <m:rPr>
                                <m:sty m:val="bi"/>
                              </m:rPr>
                              <w:rPr>
                                <w:rFonts w:ascii="Cambria Math" w:hAnsi="Cambria Math"/>
                                <w:szCs w:val="24"/>
                              </w:rPr>
                              <m:t xml:space="preserve">+ </m:t>
                            </m:r>
                            <m:sSub>
                              <m:sSubPr>
                                <m:ctrlPr>
                                  <w:rPr>
                                    <w:rFonts w:ascii="Cambria Math" w:hAnsi="Cambria Math"/>
                                    <w:b/>
                                    <w:bCs/>
                                    <w:i/>
                                    <w:szCs w:val="24"/>
                                  </w:rPr>
                                </m:ctrlPr>
                              </m:sSubPr>
                              <m:e>
                                <m:r>
                                  <m:rPr>
                                    <m:sty m:val="bi"/>
                                  </m:rPr>
                                  <w:rPr>
                                    <w:rFonts w:ascii="Cambria Math" w:hAnsi="Cambria Math"/>
                                    <w:szCs w:val="24"/>
                                  </w:rPr>
                                  <m:t>KS</m:t>
                                </m:r>
                              </m:e>
                              <m:sub>
                                <m:r>
                                  <m:rPr>
                                    <m:sty m:val="bi"/>
                                  </m:rPr>
                                  <w:rPr>
                                    <w:rFonts w:ascii="Cambria Math" w:hAnsi="Cambria Math"/>
                                    <w:szCs w:val="24"/>
                                  </w:rPr>
                                  <m:t>adm</m:t>
                                </m:r>
                                <m:r>
                                  <m:rPr>
                                    <m:sty m:val="bi"/>
                                  </m:rPr>
                                  <w:rPr>
                                    <w:rFonts w:ascii="Cambria Math" w:hAnsi="Cambria Math"/>
                                    <w:szCs w:val="24"/>
                                  </w:rPr>
                                  <m:t>,</m:t>
                                </m:r>
                                <m:r>
                                  <m:rPr>
                                    <m:sty m:val="bi"/>
                                  </m:rPr>
                                  <w:rPr>
                                    <w:rFonts w:ascii="Cambria Math" w:hAnsi="Cambria Math"/>
                                    <w:szCs w:val="24"/>
                                  </w:rPr>
                                  <m:t>t</m:t>
                                </m:r>
                              </m:sub>
                            </m:sSub>
                            <m:r>
                              <m:rPr>
                                <m:sty m:val="bi"/>
                              </m:rP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oMath>
                      <w:r>
                        <w:rPr>
                          <w:szCs w:val="24"/>
                        </w:rPr>
                        <w:t>(66)</w:t>
                      </w:r>
                    </w:p>
                    <w:p w14:paraId="32444592" w14:textId="77777777" w:rsidR="00036FFB" w:rsidRDefault="00036FFB">
                      <w:pPr>
                        <w:tabs>
                          <w:tab w:val="left" w:pos="1134"/>
                        </w:tabs>
                        <w:spacing w:line="252" w:lineRule="auto"/>
                        <w:jc w:val="center"/>
                        <w:rPr>
                          <w:rFonts w:eastAsia="MS Mincho"/>
                          <w:szCs w:val="24"/>
                        </w:rPr>
                      </w:pPr>
                    </w:p>
                    <w:p w14:paraId="002DB2C8" w14:textId="77777777" w:rsidR="00036FFB" w:rsidRDefault="007D44B9">
                      <w:pPr>
                        <w:spacing w:line="252" w:lineRule="auto"/>
                        <w:ind w:firstLine="709"/>
                        <w:jc w:val="both"/>
                        <w:rPr>
                          <w:i/>
                          <w:szCs w:val="24"/>
                          <w:lang w:eastAsia="lt-LT"/>
                        </w:rPr>
                      </w:pPr>
                      <w:r>
                        <w:rPr>
                          <w:i/>
                          <w:szCs w:val="24"/>
                          <w:lang w:eastAsia="lt-LT"/>
                        </w:rPr>
                        <w:t>čia:</w:t>
                      </w:r>
                    </w:p>
                    <w:p w14:paraId="743053BB" w14:textId="0196859A" w:rsidR="00036FFB" w:rsidRDefault="007D44B9">
                      <w:pPr>
                        <w:spacing w:line="252" w:lineRule="auto"/>
                        <w:ind w:firstLine="709"/>
                        <w:jc w:val="both"/>
                        <w:rPr>
                          <w:szCs w:val="24"/>
                          <w:lang w:eastAsia="lt-LT"/>
                        </w:rPr>
                      </w:pPr>
                      <w:proofErr w:type="spellStart"/>
                      <w:r>
                        <w:rPr>
                          <w:i/>
                          <w:szCs w:val="24"/>
                          <w:lang w:eastAsia="lt-LT"/>
                        </w:rPr>
                        <w:t>ST</w:t>
                      </w:r>
                      <w:r>
                        <w:rPr>
                          <w:i/>
                          <w:szCs w:val="24"/>
                          <w:vertAlign w:val="subscript"/>
                          <w:lang w:eastAsia="lt-LT"/>
                        </w:rPr>
                        <w:t>t</w:t>
                      </w:r>
                      <w:proofErr w:type="spellEnd"/>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14:paraId="7D092C29" w14:textId="77777777" w:rsidR="00036FFB" w:rsidRDefault="007D44B9">
                      <w:pPr>
                        <w:spacing w:line="252" w:lineRule="auto"/>
                        <w:ind w:firstLine="709"/>
                        <w:jc w:val="both"/>
                        <w:rPr>
                          <w:szCs w:val="24"/>
                          <w:lang w:eastAsia="lt-LT"/>
                        </w:rPr>
                      </w:pPr>
                      <w:proofErr w:type="spellStart"/>
                      <w:r>
                        <w:rPr>
                          <w:i/>
                          <w:szCs w:val="24"/>
                          <w:lang w:eastAsia="lt-LT"/>
                        </w:rPr>
                        <w:t>T</w:t>
                      </w:r>
                      <w:r>
                        <w:rPr>
                          <w:i/>
                          <w:szCs w:val="24"/>
                          <w:vertAlign w:val="subscript"/>
                          <w:lang w:eastAsia="lt-LT"/>
                        </w:rPr>
                        <w:t>t</w:t>
                      </w:r>
                      <w:proofErr w:type="spellEnd"/>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14:paraId="63F01974" w14:textId="1B4F0ED5" w:rsidR="00036FFB" w:rsidRDefault="007D44B9">
                      <w:pPr>
                        <w:spacing w:line="252" w:lineRule="auto"/>
                        <w:ind w:firstLine="709"/>
                        <w:jc w:val="both"/>
                        <w:rPr>
                          <w:szCs w:val="24"/>
                          <w:lang w:eastAsia="lt-LT"/>
                        </w:rPr>
                      </w:pPr>
                      <w:proofErr w:type="spellStart"/>
                      <w:r>
                        <w:rPr>
                          <w:i/>
                          <w:szCs w:val="24"/>
                          <w:lang w:eastAsia="lt-LT"/>
                        </w:rPr>
                        <w:lastRenderedPageBreak/>
                        <w:t>P</w:t>
                      </w:r>
                      <w:r>
                        <w:rPr>
                          <w:i/>
                          <w:szCs w:val="24"/>
                          <w:vertAlign w:val="subscript"/>
                          <w:lang w:eastAsia="lt-LT"/>
                        </w:rPr>
                        <w:t>t</w:t>
                      </w:r>
                      <w:proofErr w:type="spellEnd"/>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14:paraId="0D0D5B06" w14:textId="13B0FE84" w:rsidR="00036FFB" w:rsidRDefault="007D44B9">
                      <w:pPr>
                        <w:spacing w:line="252" w:lineRule="auto"/>
                        <w:ind w:firstLine="709"/>
                        <w:jc w:val="both"/>
                        <w:rPr>
                          <w:szCs w:val="24"/>
                          <w:lang w:eastAsia="lt-LT"/>
                        </w:rPr>
                      </w:pPr>
                      <w:proofErr w:type="spellStart"/>
                      <w:r>
                        <w:rPr>
                          <w:i/>
                          <w:iCs/>
                          <w:szCs w:val="24"/>
                        </w:rPr>
                        <w:t>KS</w:t>
                      </w:r>
                      <w:r>
                        <w:rPr>
                          <w:i/>
                          <w:iCs/>
                          <w:szCs w:val="24"/>
                          <w:vertAlign w:val="subscript"/>
                          <w:lang w:eastAsia="lt-LT"/>
                        </w:rPr>
                        <w:t>adm,t</w:t>
                      </w:r>
                      <w:proofErr w:type="spellEnd"/>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STO, kurio veiklos teritori</w:t>
                      </w:r>
                      <w:r>
                        <w:rPr>
                          <w:color w:val="000000"/>
                        </w:rPr>
                        <w:t xml:space="preserve">joje esančių vartotojų skaičius didesnis kaip 100 tūkstančių, patirtų pagrįstų sąnaudų suma </w:t>
                      </w:r>
                      <w:r>
                        <w:rPr>
                          <w:i/>
                          <w:szCs w:val="24"/>
                          <w:lang w:eastAsia="lt-LT"/>
                        </w:rPr>
                        <w:t>t</w:t>
                      </w:r>
                      <w:r>
                        <w:rPr>
                          <w:szCs w:val="24"/>
                          <w:lang w:eastAsia="lt-LT"/>
                        </w:rPr>
                        <w:t xml:space="preserve"> metais, EUR;</w:t>
                      </w:r>
                    </w:p>
                    <w:p w14:paraId="6BA74C3F" w14:textId="4BA7C0B9" w:rsidR="00036FFB" w:rsidRDefault="007D44B9">
                      <w:pPr>
                        <w:spacing w:line="252" w:lineRule="auto"/>
                        <w:ind w:firstLine="709"/>
                        <w:jc w:val="both"/>
                        <w:rPr>
                          <w:szCs w:val="24"/>
                          <w:lang w:eastAsia="lt-LT"/>
                        </w:rPr>
                      </w:pPr>
                      <w:proofErr w:type="spellStart"/>
                      <w:r>
                        <w:rPr>
                          <w:i/>
                          <w:iCs/>
                          <w:szCs w:val="24"/>
                        </w:rPr>
                        <w:t>KS</w:t>
                      </w:r>
                      <w:r>
                        <w:rPr>
                          <w:i/>
                          <w:iCs/>
                          <w:szCs w:val="24"/>
                          <w:vertAlign w:val="subscript"/>
                          <w:lang w:eastAsia="lt-LT"/>
                        </w:rPr>
                        <w:t>t</w:t>
                      </w:r>
                      <w:proofErr w:type="spellEnd"/>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14:paraId="34086411" w14:textId="09064F71" w:rsidR="00036FFB" w:rsidRDefault="007D44B9">
                      <w:pPr>
                        <w:spacing w:line="252" w:lineRule="auto"/>
                        <w:ind w:firstLine="709"/>
                        <w:jc w:val="both"/>
                        <w:rPr>
                          <w:szCs w:val="24"/>
                        </w:rPr>
                      </w:pPr>
                      <w:proofErr w:type="spellStart"/>
                      <w:r>
                        <w:rPr>
                          <w:i/>
                          <w:iCs/>
                          <w:szCs w:val="24"/>
                          <w:lang w:eastAsia="lt-LT"/>
                        </w:rPr>
                        <w:t>E</w:t>
                      </w:r>
                      <w:r>
                        <w:rPr>
                          <w:i/>
                          <w:iCs/>
                          <w:szCs w:val="24"/>
                          <w:vertAlign w:val="subscript"/>
                          <w:lang w:eastAsia="lt-LT"/>
                        </w:rPr>
                        <w:t>B,t</w:t>
                      </w:r>
                      <w:proofErr w:type="spellEnd"/>
                      <w:r>
                        <w:rPr>
                          <w:szCs w:val="24"/>
                          <w:lang w:eastAsia="lt-LT"/>
                        </w:rPr>
                        <w:t xml:space="preserve"> – </w:t>
                      </w:r>
                      <w:r>
                        <w:rPr>
                          <w:szCs w:val="24"/>
                        </w:rPr>
                        <w:t>STO progn</w:t>
                      </w:r>
                      <w:r>
                        <w:rPr>
                          <w:szCs w:val="24"/>
                        </w:rPr>
                        <w:t xml:space="preserve">ozuojamas buitiniams vartotojams paskirstyti elektros energijos kiekis </w:t>
                      </w:r>
                      <w:r>
                        <w:rPr>
                          <w:i/>
                          <w:szCs w:val="24"/>
                        </w:rPr>
                        <w:t xml:space="preserve">t </w:t>
                      </w:r>
                      <w:r>
                        <w:rPr>
                          <w:szCs w:val="24"/>
                        </w:rPr>
                        <w:t>metais, kWh.“</w:t>
                      </w:r>
                    </w:p>
                  </w:sdtContent>
                </w:sdt>
              </w:sdtContent>
            </w:sdt>
          </w:sdtContent>
        </w:sdt>
        <w:sdt>
          <w:sdtPr>
            <w:alias w:val="2 p."/>
            <w:tag w:val="part_258cb10fed4d4cea8752f97c06461058"/>
            <w:id w:val="1773049774"/>
            <w:lock w:val="sdtLocked"/>
          </w:sdtPr>
          <w:sdtEndPr/>
          <w:sdtContent>
            <w:p w14:paraId="5FFED099" w14:textId="60FCB452" w:rsidR="00036FFB" w:rsidRDefault="007D44B9">
              <w:pPr>
                <w:tabs>
                  <w:tab w:val="left" w:pos="993"/>
                </w:tabs>
                <w:ind w:left="1080" w:hanging="360"/>
                <w:jc w:val="both"/>
              </w:pPr>
              <w:sdt>
                <w:sdtPr>
                  <w:alias w:val="Numeris"/>
                  <w:tag w:val="nr_258cb10fed4d4cea8752f97c06461058"/>
                  <w:id w:val="-164252960"/>
                  <w:lock w:val="sdtLocked"/>
                </w:sdtPr>
                <w:sdtEndPr/>
                <w:sdtContent>
                  <w:r>
                    <w:t>2</w:t>
                  </w:r>
                </w:sdtContent>
              </w:sdt>
              <w:r>
                <w:t>.</w:t>
              </w:r>
              <w:r>
                <w:tab/>
                <w:t>Pakeisti 97 punktą ir jį išdėstyti taip:</w:t>
              </w:r>
            </w:p>
            <w:sdt>
              <w:sdtPr>
                <w:alias w:val="citata"/>
                <w:tag w:val="part_d3c489899eec43738039072fd25392d1"/>
                <w:id w:val="492606713"/>
                <w:lock w:val="sdtLocked"/>
              </w:sdtPr>
              <w:sdtEndPr/>
              <w:sdtContent>
                <w:sdt>
                  <w:sdtPr>
                    <w:alias w:val="97 p."/>
                    <w:tag w:val="part_abc7d28fbbaa45c983acbd0c98097ddf"/>
                    <w:id w:val="-1214582927"/>
                    <w:lock w:val="sdtLocked"/>
                  </w:sdtPr>
                  <w:sdtEndPr/>
                  <w:sdtContent>
                    <w:p w14:paraId="79953567" w14:textId="389202AE" w:rsidR="00036FFB" w:rsidRDefault="007D44B9">
                      <w:pPr>
                        <w:tabs>
                          <w:tab w:val="left" w:pos="993"/>
                        </w:tabs>
                        <w:ind w:firstLine="720"/>
                        <w:jc w:val="both"/>
                        <w:rPr>
                          <w:color w:val="000000"/>
                        </w:rPr>
                      </w:pPr>
                      <w:r>
                        <w:t>„</w:t>
                      </w:r>
                      <w:sdt>
                        <w:sdtPr>
                          <w:alias w:val="Numeris"/>
                          <w:tag w:val="nr_abc7d28fbbaa45c983acbd0c98097ddf"/>
                          <w:id w:val="-1824200707"/>
                          <w:lock w:val="sdtLocked"/>
                        </w:sdtPr>
                        <w:sdtEndPr/>
                        <w:sdtContent>
                          <w:r>
                            <w:rPr>
                              <w:color w:val="000000"/>
                            </w:rPr>
                            <w:t>97</w:t>
                          </w:r>
                        </w:sdtContent>
                      </w:sdt>
                      <w:r>
                        <w:rPr>
                          <w:color w:val="000000"/>
                        </w:rPr>
                        <w:t>. Apskaičiuojant sumą (</w:t>
                      </w:r>
                      <w:proofErr w:type="spellStart"/>
                      <w:r>
                        <w:rPr>
                          <w:i/>
                          <w:iCs/>
                          <w:color w:val="000000"/>
                        </w:rPr>
                        <w:t>T</w:t>
                      </w:r>
                      <w:r>
                        <w:rPr>
                          <w:color w:val="000000"/>
                          <w:vertAlign w:val="subscript"/>
                        </w:rPr>
                        <w:t>t</w:t>
                      </w:r>
                      <w:proofErr w:type="spellEnd"/>
                      <w:r>
                        <w:rPr>
                          <w:color w:val="000000"/>
                        </w:rPr>
                        <w:t>), kurią STO turi kompensuoti </w:t>
                      </w:r>
                      <w:r>
                        <w:rPr>
                          <w:i/>
                          <w:iCs/>
                          <w:color w:val="000000"/>
                        </w:rPr>
                        <w:t>t</w:t>
                      </w:r>
                      <w:r>
                        <w:rPr>
                          <w:color w:val="000000"/>
                        </w:rPr>
                        <w:t xml:space="preserve"> metais visuomeniniam tiekėjui, veikiančiam STO </w:t>
                      </w:r>
                      <w:r>
                        <w:rPr>
                          <w:color w:val="000000"/>
                        </w:rPr>
                        <w:t>skirstymo veiklos licencijoje nurodytoje teritorijoje, ir sumą (</w:t>
                      </w:r>
                      <w:proofErr w:type="spellStart"/>
                      <w:r>
                        <w:rPr>
                          <w:i/>
                          <w:iCs/>
                          <w:color w:val="000000"/>
                        </w:rPr>
                        <w:t>P</w:t>
                      </w:r>
                      <w:r>
                        <w:rPr>
                          <w:color w:val="000000"/>
                          <w:vertAlign w:val="subscript"/>
                        </w:rPr>
                        <w:t>t</w:t>
                      </w:r>
                      <w:proofErr w:type="spellEnd"/>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c37b3012ccb240b383ef17e4618e73e7"/>
                        <w:id w:val="1194198284"/>
                        <w:lock w:val="sdtLocked"/>
                      </w:sdtPr>
                      <w:sdtEndPr/>
                      <w:sdtContent>
                        <w:p w14:paraId="6890D60B" w14:textId="547D8C73" w:rsidR="00036FFB" w:rsidRDefault="007D44B9">
                          <w:pPr>
                            <w:tabs>
                              <w:tab w:val="left" w:pos="993"/>
                            </w:tabs>
                            <w:ind w:firstLine="720"/>
                            <w:jc w:val="both"/>
                            <w:rPr>
                              <w:color w:val="000000"/>
                            </w:rPr>
                          </w:pPr>
                          <w:sdt>
                            <w:sdtPr>
                              <w:alias w:val="Numeris"/>
                              <w:tag w:val="nr_c37b3012ccb240b383ef17e4618e73e7"/>
                              <w:id w:val="949367288"/>
                              <w:lock w:val="sdtLocked"/>
                            </w:sdtPr>
                            <w:sdtEndPr/>
                            <w:sdtContent>
                              <w:r>
                                <w:rPr>
                                  <w:color w:val="000000"/>
                                </w:rPr>
                                <w:t>97.1</w:t>
                              </w:r>
                            </w:sdtContent>
                          </w:sdt>
                          <w:r>
                            <w:rPr>
                              <w:color w:val="000000"/>
                            </w:rPr>
                            <w:t xml:space="preserve">. </w:t>
                          </w:r>
                          <w:r>
                            <w:rPr>
                              <w:szCs w:val="24"/>
                              <w:lang w:eastAsia="lt-LT"/>
                            </w:rPr>
                            <w:t>skirtumas, susidar</w:t>
                          </w:r>
                          <w:r>
                            <w:rPr>
                              <w:szCs w:val="24"/>
                              <w:lang w:eastAsia="lt-LT"/>
                            </w:rPr>
                            <w:t xml:space="preserve">ęs </w:t>
                          </w:r>
                          <w:r>
                            <w:rPr>
                              <w:color w:val="000000"/>
                            </w:rPr>
                            <w:t>iki </w:t>
                          </w:r>
                          <w:r>
                            <w:rPr>
                              <w:i/>
                              <w:iCs/>
                              <w:color w:val="000000"/>
                            </w:rPr>
                            <w:t>t-1</w:t>
                          </w:r>
                          <w:r>
                            <w:rPr>
                              <w:color w:val="000000"/>
                            </w:rPr>
                            <w:t> metų rugsėjo 30 d. tarp visuomeninio tiekėjo faktiškai surinktų lėšų ir pagrįstų sąnaudų teikiant visuomeninio tiekimo paslaugą, arba šio skirtumo </w:t>
                          </w:r>
                          <w:r>
                            <w:rPr>
                              <w:i/>
                              <w:iCs/>
                              <w:color w:val="000000"/>
                            </w:rPr>
                            <w:t>t</w:t>
                          </w:r>
                          <w:r>
                            <w:rPr>
                              <w:color w:val="000000"/>
                            </w:rPr>
                            <w:t> metais kompensuotina dalis įskaitant pinigų kainą, jeigu Tarybos sprendimu šio skirtumo kompensa</w:t>
                          </w:r>
                          <w:r>
                            <w:rPr>
                              <w:color w:val="000000"/>
                            </w:rPr>
                            <w:t>vimas išdėstytas per ilgesnį nei vienerių metų laikotarpį. Apskaičiuojant skirtumą įskaičiuojamas dėl prognozuotos elektros energijos įsigijimo kainos ir faktinės elektros energijos įsigijimo kainos neatitikimo susidaręs skirtumas, apskaičiuotas pagal Meto</w:t>
                          </w:r>
                          <w:r>
                            <w:rPr>
                              <w:color w:val="000000"/>
                            </w:rPr>
                            <w:t xml:space="preserve">dikos 115, 116-117 punktų nuostatas, prognozuotų ir faktiškai patirtų pagrįstų veiklos sąnaudų skirtumas, taip pat dėl visuomeninio tiekėjo visuomeninės elektros energijos kainos viršutinėje riboje taikytų ir faktinių elektros energijos skirstymo paslaugų </w:t>
                          </w:r>
                          <w:r>
                            <w:rPr>
                              <w:color w:val="000000"/>
                            </w:rPr>
                            <w:t>VĮ ir ŽĮ tinkluose kainų viršutinių ribų skirtumo, vienam visuomeniniam tiekėjui veikiant kelių skirstomųjų tinklų operatorių licencijuojamos veiklos teritorijose, apskaičiuoto vadovaujantis Metodikos 119 punktu, susidariusi sąnaudų suma.</w:t>
                          </w:r>
                        </w:p>
                      </w:sdtContent>
                    </w:sdt>
                    <w:sdt>
                      <w:sdtPr>
                        <w:alias w:val="97.2 pp."/>
                        <w:tag w:val="part_97b13a093ea5493591c00b5d07f64db1"/>
                        <w:id w:val="-1512990113"/>
                        <w:lock w:val="sdtLocked"/>
                      </w:sdtPr>
                      <w:sdtEndPr/>
                      <w:sdtContent>
                        <w:p w14:paraId="7BB8D931" w14:textId="68DF77E5" w:rsidR="00036FFB" w:rsidRDefault="007D44B9">
                          <w:pPr>
                            <w:tabs>
                              <w:tab w:val="left" w:pos="993"/>
                            </w:tabs>
                            <w:ind w:firstLine="720"/>
                            <w:jc w:val="both"/>
                            <w:rPr>
                              <w:color w:val="000000"/>
                            </w:rPr>
                          </w:pPr>
                          <w:sdt>
                            <w:sdtPr>
                              <w:alias w:val="Numeris"/>
                              <w:tag w:val="nr_97b13a093ea5493591c00b5d07f64db1"/>
                              <w:id w:val="-586615651"/>
                              <w:lock w:val="sdtLocked"/>
                            </w:sdtPr>
                            <w:sdtEndPr/>
                            <w:sdtContent>
                              <w:r>
                                <w:rPr>
                                  <w:color w:val="000000"/>
                                </w:rPr>
                                <w:t>97.2</w:t>
                              </w:r>
                            </w:sdtContent>
                          </w:sdt>
                          <w:r>
                            <w:rPr>
                              <w:color w:val="000000"/>
                            </w:rPr>
                            <w:t>. prognoz</w:t>
                          </w:r>
                          <w:r>
                            <w:rPr>
                              <w:color w:val="000000"/>
                            </w:rPr>
                            <w:t xml:space="preserve">uojamas skirtumas tarp visuomeniniam tiekėjui leistinų gauti lėšų ir numatomų patirti sąnaudų, už </w:t>
                          </w:r>
                          <w:r>
                            <w:rPr>
                              <w:i/>
                              <w:iCs/>
                              <w:color w:val="000000"/>
                            </w:rPr>
                            <w:t>t-1</w:t>
                          </w:r>
                          <w:r>
                            <w:rPr>
                              <w:color w:val="000000"/>
                            </w:rPr>
                            <w:t xml:space="preserve"> metų likusį laikotarpį, kuriam galioja nustatyti visuomeniniai elektros energijos tarifai. Apskaičiuojant skirtumą, pagal Metodikos </w:t>
                          </w:r>
                          <w:r>
                            <w:rPr>
                              <w:szCs w:val="24"/>
                              <w:lang w:eastAsia="lt-LT"/>
                            </w:rPr>
                            <w:t>115</w:t>
                          </w:r>
                          <w:r>
                            <w:rPr>
                              <w:szCs w:val="24"/>
                              <w:vertAlign w:val="superscript"/>
                              <w:lang w:eastAsia="lt-LT"/>
                            </w:rPr>
                            <w:t>1</w:t>
                          </w:r>
                          <w:r>
                            <w:rPr>
                              <w:szCs w:val="24"/>
                              <w:lang w:eastAsia="lt-LT"/>
                            </w:rPr>
                            <w:t xml:space="preserve"> punktą,</w:t>
                          </w:r>
                          <w:r>
                            <w:rPr>
                              <w:color w:val="000000"/>
                            </w:rPr>
                            <w:t xml:space="preserve"> Tarybos s</w:t>
                          </w:r>
                          <w:r>
                            <w:rPr>
                              <w:color w:val="000000"/>
                            </w:rPr>
                            <w:t xml:space="preserve">prendimu įskaičiuojamas dėl Tarybos prognozuotos (nustatytos) elektros energijos įsigijimo kainos likusiam tarifų galiojimo laikotarpiui ir prognozuojamos faktinės elektros energijos įsigijimo kainos šiuo laikotarpiu neatitikimo susidarysiantis skirtumas. </w:t>
                          </w:r>
                          <w:r>
                            <w:rPr>
                              <w:color w:val="000000"/>
                            </w:rPr>
                            <w:t>Ši nuostata taikytina tais atvejais, kai siekiama kainų pokyčių amortizavimo (sušvelninimo) ateities laikotarpiams.</w:t>
                          </w:r>
                        </w:p>
                      </w:sdtContent>
                    </w:sdt>
                    <w:sdt>
                      <w:sdtPr>
                        <w:alias w:val="97.3 pp."/>
                        <w:tag w:val="part_887b5c3166bd450ead9cccba46de7531"/>
                        <w:id w:val="-1188360714"/>
                        <w:lock w:val="sdtLocked"/>
                      </w:sdtPr>
                      <w:sdtEndPr/>
                      <w:sdtContent>
                        <w:p w14:paraId="6DE9016F" w14:textId="60076F05" w:rsidR="00036FFB" w:rsidRDefault="007D44B9">
                          <w:pPr>
                            <w:tabs>
                              <w:tab w:val="left" w:pos="993"/>
                            </w:tabs>
                            <w:ind w:firstLine="720"/>
                            <w:jc w:val="both"/>
                            <w:rPr>
                              <w:color w:val="000000"/>
                            </w:rPr>
                          </w:pPr>
                          <w:sdt>
                            <w:sdtPr>
                              <w:alias w:val="Numeris"/>
                              <w:tag w:val="nr_887b5c3166bd450ead9cccba46de7531"/>
                              <w:id w:val="-1785495026"/>
                              <w:lock w:val="sdtLocked"/>
                            </w:sdtPr>
                            <w:sdtEnd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d7bd959130d3409b88e2bdd41738a9e1"/>
                        <w:id w:val="941799360"/>
                        <w:lock w:val="sdtLocked"/>
                      </w:sdtPr>
                      <w:sdtEndPr/>
                      <w:sdtContent>
                        <w:p w14:paraId="4D02F4E4" w14:textId="02661218" w:rsidR="00036FFB" w:rsidRDefault="007D44B9">
                          <w:pPr>
                            <w:tabs>
                              <w:tab w:val="left" w:pos="993"/>
                            </w:tabs>
                            <w:ind w:firstLine="720"/>
                            <w:jc w:val="both"/>
                            <w:rPr>
                              <w:color w:val="000000"/>
                            </w:rPr>
                          </w:pPr>
                          <w:sdt>
                            <w:sdtPr>
                              <w:alias w:val="Numeris"/>
                              <w:tag w:val="nr_d7bd959130d3409b88e2bdd41738a9e1"/>
                              <w:id w:val="-632939386"/>
                              <w:lock w:val="sdtLocked"/>
                            </w:sdtPr>
                            <w:sdtEnd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14:paraId="6F3637DB" w14:textId="6AF5F14C" w:rsidR="00036FFB" w:rsidRDefault="007D44B9">
                          <w:pPr>
                            <w:tabs>
                              <w:tab w:val="left" w:pos="993"/>
                            </w:tabs>
                            <w:ind w:firstLine="720"/>
                            <w:jc w:val="both"/>
                            <w:rPr>
                              <w:b/>
                              <w:bCs/>
                              <w:color w:val="000000"/>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w:t>
                          </w:r>
                          <w:r>
                            <w:rPr>
                              <w:color w:val="000000"/>
                              <w:lang w:eastAsia="lt-LT"/>
                            </w:rPr>
                            <w:t xml:space="preserve">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p>
                      </w:sdtContent>
                    </w:sdt>
                  </w:sdtContent>
                </w:sdt>
              </w:sdtContent>
            </w:sdt>
          </w:sdtContent>
        </w:sdt>
        <w:sdt>
          <w:sdtPr>
            <w:alias w:val="3 p."/>
            <w:tag w:val="part_b754c5621f384619856b2dc021131ad2"/>
            <w:id w:val="1049889544"/>
            <w:lock w:val="sdtLocked"/>
          </w:sdtPr>
          <w:sdtEndPr/>
          <w:sdtContent>
            <w:p w14:paraId="3744FABF" w14:textId="3A977F55" w:rsidR="00036FFB" w:rsidRDefault="007D44B9">
              <w:pPr>
                <w:tabs>
                  <w:tab w:val="left" w:pos="993"/>
                </w:tabs>
                <w:ind w:left="1080" w:hanging="360"/>
                <w:jc w:val="both"/>
              </w:pPr>
              <w:sdt>
                <w:sdtPr>
                  <w:alias w:val="Numeris"/>
                  <w:tag w:val="nr_b754c5621f384619856b2dc021131ad2"/>
                  <w:id w:val="1001771913"/>
                  <w:lock w:val="sdtLocked"/>
                </w:sdtPr>
                <w:sdtEndPr/>
                <w:sdtContent>
                  <w:r>
                    <w:t>3</w:t>
                  </w:r>
                </w:sdtContent>
              </w:sdt>
              <w:r>
                <w:t>.</w:t>
              </w:r>
              <w:r>
                <w:tab/>
                <w:t xml:space="preserve">Pakeisti 98 punktą ir </w:t>
              </w:r>
              <w:r>
                <w:rPr>
                  <w:color w:val="000000"/>
                  <w:szCs w:val="24"/>
                  <w:lang w:eastAsia="lt-LT"/>
                </w:rPr>
                <w:t>jį išdėstyti taip:</w:t>
              </w:r>
            </w:p>
            <w:sdt>
              <w:sdtPr>
                <w:alias w:val="citata"/>
                <w:tag w:val="part_a28276cfc980479cb6f2dc907dd038d5"/>
                <w:id w:val="3715532"/>
                <w:lock w:val="sdtLocked"/>
              </w:sdtPr>
              <w:sdtEndPr/>
              <w:sdtContent>
                <w:sdt>
                  <w:sdtPr>
                    <w:alias w:val="98 p."/>
                    <w:tag w:val="part_242d77675b31418ba25df571a798b96d"/>
                    <w:id w:val="727956956"/>
                    <w:lock w:val="sdtLocked"/>
                  </w:sdtPr>
                  <w:sdtEndPr/>
                  <w:sdtContent>
                    <w:p w14:paraId="02E7B9A7" w14:textId="72D2D92D" w:rsidR="00036FFB" w:rsidRDefault="007D44B9">
                      <w:pPr>
                        <w:tabs>
                          <w:tab w:val="left" w:pos="993"/>
                        </w:tabs>
                        <w:ind w:firstLine="720"/>
                        <w:jc w:val="both"/>
                        <w:rPr>
                          <w:szCs w:val="24"/>
                        </w:rPr>
                      </w:pPr>
                      <w:r>
                        <w:rPr>
                          <w:color w:val="000000"/>
                        </w:rPr>
                        <w:t>„</w:t>
                      </w:r>
                      <w:sdt>
                        <w:sdtPr>
                          <w:alias w:val="Numeris"/>
                          <w:tag w:val="nr_242d77675b31418ba25df571a798b96d"/>
                          <w:id w:val="-1747181153"/>
                          <w:lock w:val="sdtLocked"/>
                        </w:sdtPr>
                        <w:sdtEnd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proofErr w:type="spellStart"/>
                      <w:r>
                        <w:rPr>
                          <w:i/>
                          <w:iCs/>
                          <w:szCs w:val="24"/>
                        </w:rPr>
                        <w:t>KS</w:t>
                      </w:r>
                      <w:r>
                        <w:rPr>
                          <w:i/>
                          <w:iCs/>
                          <w:szCs w:val="24"/>
                          <w:vertAlign w:val="subscript"/>
                          <w:lang w:eastAsia="lt-LT"/>
                        </w:rPr>
                        <w:t>adm,t</w:t>
                      </w:r>
                      <w:proofErr w:type="spellEnd"/>
                      <w:r>
                        <w:rPr>
                          <w:i/>
                          <w:iCs/>
                          <w:szCs w:val="24"/>
                          <w:lang w:eastAsia="lt-LT"/>
                        </w:rPr>
                        <w:t>)</w:t>
                      </w:r>
                      <w:r>
                        <w:rPr>
                          <w:color w:val="000000"/>
                        </w:rPr>
                        <w:t>, susijusias su Energetikos įstatymo 19</w:t>
                      </w:r>
                      <w:r>
                        <w:rPr>
                          <w:color w:val="000000"/>
                          <w:vertAlign w:val="superscript"/>
                        </w:rPr>
                        <w:t>2</w:t>
                      </w:r>
                      <w:r>
                        <w:rPr>
                          <w:color w:val="000000"/>
                        </w:rPr>
                        <w:t> straipsnyje nurodyto d</w:t>
                      </w:r>
                      <w:r>
                        <w:rPr>
                          <w:color w:val="000000"/>
                        </w:rPr>
                        <w:t>alinio kompensavimo apskaičiavimo ir išmokėjimo administravimu, kai toks kompensavimas buvo vykdytas.“</w:t>
                      </w:r>
                    </w:p>
                  </w:sdtContent>
                </w:sdt>
              </w:sdtContent>
            </w:sdt>
          </w:sdtContent>
        </w:sdt>
        <w:sdt>
          <w:sdtPr>
            <w:alias w:val="4 p."/>
            <w:tag w:val="part_4011357a458140c9bc00fb5f0e8333c4"/>
            <w:id w:val="1719243547"/>
            <w:lock w:val="sdtLocked"/>
          </w:sdtPr>
          <w:sdtEndPr/>
          <w:sdtContent>
            <w:p w14:paraId="3F7B9803" w14:textId="7D081841" w:rsidR="00036FFB" w:rsidRDefault="007D44B9">
              <w:pPr>
                <w:tabs>
                  <w:tab w:val="left" w:pos="993"/>
                </w:tabs>
                <w:ind w:left="1080" w:hanging="360"/>
                <w:jc w:val="both"/>
              </w:pPr>
              <w:sdt>
                <w:sdtPr>
                  <w:alias w:val="Numeris"/>
                  <w:tag w:val="nr_4011357a458140c9bc00fb5f0e8333c4"/>
                  <w:id w:val="1941645649"/>
                  <w:lock w:val="sdtLocked"/>
                </w:sdtPr>
                <w:sdtEndPr/>
                <w:sdtContent>
                  <w:r>
                    <w:t>4</w:t>
                  </w:r>
                </w:sdtContent>
              </w:sdt>
              <w:r>
                <w:t>.</w:t>
              </w:r>
              <w:r>
                <w:tab/>
                <w:t>Pripažinti netekusiu galios 99 punktą.</w:t>
              </w:r>
            </w:p>
          </w:sdtContent>
        </w:sdt>
        <w:sdt>
          <w:sdtPr>
            <w:alias w:val="5 p."/>
            <w:tag w:val="part_50a0d7ad8e1746f6b473b5253271bd96"/>
            <w:id w:val="1702438559"/>
            <w:lock w:val="sdtLocked"/>
          </w:sdtPr>
          <w:sdtEndPr/>
          <w:sdtContent>
            <w:p w14:paraId="270FE100" w14:textId="220A37B6" w:rsidR="00036FFB" w:rsidRDefault="007D44B9">
              <w:pPr>
                <w:tabs>
                  <w:tab w:val="left" w:pos="993"/>
                </w:tabs>
                <w:spacing w:line="252" w:lineRule="auto"/>
                <w:ind w:left="1080" w:hanging="360"/>
                <w:jc w:val="both"/>
                <w:rPr>
                  <w:szCs w:val="24"/>
                  <w:lang w:eastAsia="lt-LT"/>
                </w:rPr>
              </w:pPr>
              <w:sdt>
                <w:sdtPr>
                  <w:alias w:val="Numeris"/>
                  <w:tag w:val="nr_50a0d7ad8e1746f6b473b5253271bd96"/>
                  <w:id w:val="-868523652"/>
                  <w:lock w:val="sdtLocked"/>
                </w:sdtPr>
                <w:sdtEndPr/>
                <w:sdtContent>
                  <w:r>
                    <w:rPr>
                      <w:szCs w:val="24"/>
                      <w:lang w:eastAsia="lt-LT"/>
                    </w:rPr>
                    <w:t>5</w:t>
                  </w:r>
                </w:sdtContent>
              </w:sdt>
              <w:r>
                <w:rPr>
                  <w:szCs w:val="24"/>
                  <w:lang w:eastAsia="lt-LT"/>
                </w:rPr>
                <w:t>.</w:t>
              </w:r>
              <w:r>
                <w:rPr>
                  <w:szCs w:val="24"/>
                  <w:lang w:eastAsia="lt-LT"/>
                </w:rPr>
                <w:tab/>
              </w:r>
              <w:r>
                <w:t xml:space="preserve">Pakeisti 100 punktą ir </w:t>
              </w:r>
              <w:r>
                <w:rPr>
                  <w:color w:val="000000"/>
                  <w:szCs w:val="24"/>
                  <w:lang w:eastAsia="lt-LT"/>
                </w:rPr>
                <w:t>jį išdėstyti taip:</w:t>
              </w:r>
            </w:p>
            <w:sdt>
              <w:sdtPr>
                <w:alias w:val="citata"/>
                <w:tag w:val="part_b278470f68d0428ba0ca336f9f530946"/>
                <w:id w:val="963539380"/>
                <w:lock w:val="sdtLocked"/>
              </w:sdtPr>
              <w:sdtEndPr/>
              <w:sdtContent>
                <w:sdt>
                  <w:sdtPr>
                    <w:alias w:val="100 p."/>
                    <w:tag w:val="part_dc1d0418b359471e9adfd849a585dafa"/>
                    <w:id w:val="-745494870"/>
                    <w:lock w:val="sdtLocked"/>
                  </w:sdtPr>
                  <w:sdtEndPr/>
                  <w:sdtContent>
                    <w:p w14:paraId="0987FE52" w14:textId="5BAABECD" w:rsidR="00036FFB" w:rsidRDefault="007D44B9">
                      <w:pPr>
                        <w:spacing w:line="252" w:lineRule="auto"/>
                        <w:ind w:firstLine="709"/>
                        <w:jc w:val="both"/>
                      </w:pPr>
                      <w:r>
                        <w:rPr>
                          <w:szCs w:val="24"/>
                          <w:lang w:eastAsia="lt-LT"/>
                        </w:rPr>
                        <w:t>„</w:t>
                      </w:r>
                      <w:sdt>
                        <w:sdtPr>
                          <w:alias w:val="Numeris"/>
                          <w:tag w:val="nr_dc1d0418b359471e9adfd849a585dafa"/>
                          <w:id w:val="464237875"/>
                          <w:lock w:val="sdtLocked"/>
                        </w:sdtPr>
                        <w:sdtEndPr/>
                        <w:sdtContent>
                          <w:r>
                            <w:rPr>
                              <w:szCs w:val="24"/>
                              <w:lang w:eastAsia="lt-LT"/>
                            </w:rPr>
                            <w:t>100</w:t>
                          </w:r>
                        </w:sdtContent>
                      </w:sdt>
                      <w:r>
                        <w:rPr>
                          <w:szCs w:val="24"/>
                          <w:lang w:eastAsia="lt-LT"/>
                        </w:rPr>
                        <w:t>. Tarybos motyvuotu sprendimu Metodikos 97 punkt</w:t>
                      </w:r>
                      <w:r>
                        <w:rPr>
                          <w:szCs w:val="24"/>
                          <w:lang w:eastAsia="lt-LT"/>
                        </w:rPr>
                        <w:t xml:space="preserve">e nurodyto skirtumo kompensavimas gali būti išdėstomas per ilgesnį nei vienerių metų laikotarpį, tačiau šis laikotarpis turi baigtis ne vėliau kaip  2027 m. gruodžio 31 d. Kai šio skirtumo kompensavimas išdėstomas per ilgesnį nei vienerių metų laikotarpį, </w:t>
                      </w:r>
                      <w:r>
                        <w:rPr>
                          <w:szCs w:val="24"/>
                          <w:lang w:eastAsia="lt-LT"/>
                        </w:rPr>
                        <w:t xml:space="preserve">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w:t>
                      </w:r>
                      <w:r>
                        <w:rPr>
                          <w:szCs w:val="24"/>
                          <w:lang w:eastAsia="lt-LT"/>
                        </w:rPr>
                        <w:t xml:space="preserve"> Tarybos tinklalapio skiltyje „WACC skaičiavimo duomenys“ (toliau – palūkanų norma). Tuo atveju, jei skirtumo kompensavimas paskirstomas per ilgesnį nei vienerių metų laikotarpį, šioms sumoms palūkanos taikomos ir nustatomoje kainoje įvertinamos tokia tvar</w:t>
                      </w:r>
                      <w:r>
                        <w:rPr>
                          <w:szCs w:val="24"/>
                          <w:lang w:eastAsia="lt-LT"/>
                        </w:rPr>
                        <w:t>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sekančiais met</w:t>
                      </w:r>
                      <w:r>
                        <w:rPr>
                          <w:szCs w:val="24"/>
                          <w:lang w:eastAsia="lt-LT"/>
                        </w:rPr>
                        <w:t xml:space="preserve">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p>
                  </w:sdtContent>
                </w:sdt>
              </w:sdtContent>
            </w:sdt>
          </w:sdtContent>
        </w:sdt>
        <w:sdt>
          <w:sdtPr>
            <w:alias w:val="6 p."/>
            <w:tag w:val="part_653f0af1525b46a295060275fcf39e17"/>
            <w:id w:val="-1522476887"/>
            <w:lock w:val="sdtLocked"/>
          </w:sdtPr>
          <w:sdtEndPr/>
          <w:sdtContent>
            <w:p w14:paraId="0C9B2D4A" w14:textId="3F790D91" w:rsidR="00036FFB" w:rsidRDefault="007D44B9">
              <w:pPr>
                <w:tabs>
                  <w:tab w:val="left" w:pos="993"/>
                </w:tabs>
                <w:ind w:left="1080" w:hanging="360"/>
                <w:jc w:val="both"/>
              </w:pPr>
              <w:sdt>
                <w:sdtPr>
                  <w:alias w:val="Numeris"/>
                  <w:tag w:val="nr_653f0af1525b46a295060275fcf39e17"/>
                  <w:id w:val="-204342636"/>
                  <w:lock w:val="sdtLocked"/>
                </w:sdtPr>
                <w:sdtEndPr/>
                <w:sdtContent>
                  <w:r>
                    <w:t>6</w:t>
                  </w:r>
                </w:sdtContent>
              </w:sdt>
              <w:r>
                <w:t>.</w:t>
              </w:r>
              <w:r>
                <w:tab/>
                <w:t xml:space="preserve">Papildyti </w:t>
              </w:r>
              <w:r>
                <w:rPr>
                  <w:szCs w:val="24"/>
                </w:rPr>
                <w:t>102</w:t>
              </w:r>
              <w:r>
                <w:rPr>
                  <w:szCs w:val="24"/>
                  <w:vertAlign w:val="superscript"/>
                </w:rPr>
                <w:t xml:space="preserve">1 </w:t>
              </w:r>
              <w:r>
                <w:t>punktu:</w:t>
              </w:r>
            </w:p>
            <w:sdt>
              <w:sdtPr>
                <w:alias w:val="citata"/>
                <w:tag w:val="part_5bfccd9504994c85a912fd17c169c582"/>
                <w:id w:val="-1045288241"/>
                <w:lock w:val="sdtLocked"/>
              </w:sdtPr>
              <w:sdtEndPr/>
              <w:sdtContent>
                <w:sdt>
                  <w:sdtPr>
                    <w:alias w:val="102-1 p."/>
                    <w:tag w:val="part_677a7b3db0474a1a9e842ee98b003f97"/>
                    <w:id w:val="-965578921"/>
                    <w:lock w:val="sdtLocked"/>
                  </w:sdtPr>
                  <w:sdtEndPr/>
                  <w:sdtContent>
                    <w:p w14:paraId="4897944F" w14:textId="3E749E20" w:rsidR="00036FFB" w:rsidRDefault="007D44B9">
                      <w:pPr>
                        <w:spacing w:line="252" w:lineRule="auto"/>
                        <w:ind w:firstLine="709"/>
                        <w:jc w:val="both"/>
                        <w:rPr>
                          <w:color w:val="000000"/>
                        </w:rPr>
                      </w:pPr>
                      <w:r>
                        <w:rPr>
                          <w:szCs w:val="24"/>
                        </w:rPr>
                        <w:t>„</w:t>
                      </w:r>
                      <w:sdt>
                        <w:sdtPr>
                          <w:alias w:val="Numeris"/>
                          <w:tag w:val="nr_677a7b3db0474a1a9e842ee98b003f97"/>
                          <w:id w:val="2058122569"/>
                          <w:lock w:val="sdtLocked"/>
                        </w:sdtPr>
                        <w:sdtEnd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proofErr w:type="spellStart"/>
                      <w:r>
                        <w:rPr>
                          <w:i/>
                          <w:szCs w:val="24"/>
                          <w:lang w:eastAsia="lt-LT"/>
                        </w:rPr>
                        <w:t>ST</w:t>
                      </w:r>
                      <w:r>
                        <w:rPr>
                          <w:i/>
                          <w:szCs w:val="24"/>
                          <w:vertAlign w:val="subscript"/>
                          <w:lang w:eastAsia="lt-LT"/>
                        </w:rPr>
                        <w:t>t</w:t>
                      </w:r>
                      <w:proofErr w:type="spellEnd"/>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w:t>
                      </w:r>
                      <w:r>
                        <w:rPr>
                          <w:shd w:val="clear" w:color="auto" w:fill="FFFFFF"/>
                        </w:rPr>
                        <w:t>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w:t>
                      </w:r>
                      <w:r>
                        <w:rPr>
                          <w:rFonts w:eastAsia="Calibri"/>
                          <w:szCs w:val="22"/>
                          <w:shd w:val="clear" w:color="auto" w:fill="FFFFFF"/>
                        </w:rPr>
                        <w:t>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w:t>
                      </w:r>
                      <w:r>
                        <w:rPr>
                          <w:color w:val="000000"/>
                          <w:shd w:val="clear" w:color="auto" w:fill="FFFFFF"/>
                          <w:lang w:eastAsia="lt-LT"/>
                        </w:rPr>
                        <w:t>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w:t>
                      </w:r>
                      <w:r>
                        <w:rPr>
                          <w:color w:val="000000"/>
                          <w:shd w:val="clear" w:color="auto" w:fill="FFFFFF"/>
                          <w:lang w:eastAsia="lt-LT"/>
                        </w:rPr>
                        <w:t>1 d. iki birželio 30 d.</w:t>
                      </w:r>
                      <w:r>
                        <w:rPr>
                          <w:color w:val="000000"/>
                          <w:lang w:eastAsia="lt-LT"/>
                        </w:rPr>
                        <w:t>“</w:t>
                      </w:r>
                    </w:p>
                  </w:sdtContent>
                </w:sdt>
              </w:sdtContent>
            </w:sdt>
          </w:sdtContent>
        </w:sdt>
        <w:sdt>
          <w:sdtPr>
            <w:alias w:val="7 p."/>
            <w:tag w:val="part_93e57621fde14524b2955e9ada11d9e2"/>
            <w:id w:val="1797334465"/>
            <w:lock w:val="sdtLocked"/>
          </w:sdtPr>
          <w:sdtEndPr/>
          <w:sdtContent>
            <w:p w14:paraId="506B06DE" w14:textId="08DDC91D" w:rsidR="00036FFB" w:rsidRDefault="007D44B9">
              <w:pPr>
                <w:tabs>
                  <w:tab w:val="left" w:pos="993"/>
                </w:tabs>
                <w:ind w:left="1080" w:hanging="360"/>
                <w:jc w:val="both"/>
              </w:pPr>
              <w:sdt>
                <w:sdtPr>
                  <w:alias w:val="Numeris"/>
                  <w:tag w:val="nr_93e57621fde14524b2955e9ada11d9e2"/>
                  <w:id w:val="1014878317"/>
                  <w:lock w:val="sdtLocked"/>
                </w:sdtPr>
                <w:sdtEndPr/>
                <w:sdtContent>
                  <w:r>
                    <w:t>7</w:t>
                  </w:r>
                </w:sdtContent>
              </w:sdt>
              <w:r>
                <w:t>.</w:t>
              </w:r>
              <w:r>
                <w:tab/>
              </w:r>
              <w:r>
                <w:rPr>
                  <w:color w:val="000000"/>
                  <w:szCs w:val="24"/>
                  <w:lang w:eastAsia="lt-LT"/>
                </w:rPr>
                <w:t>Pakeisti 111 punktą ir jį išdėstyti taip:</w:t>
              </w:r>
            </w:p>
            <w:sdt>
              <w:sdtPr>
                <w:alias w:val="citata"/>
                <w:tag w:val="part_3fcac5fd3fd540bd8fc6e6701258f57a"/>
                <w:id w:val="696814073"/>
                <w:lock w:val="sdtLocked"/>
              </w:sdtPr>
              <w:sdtEndPr/>
              <w:sdtContent>
                <w:sdt>
                  <w:sdtPr>
                    <w:alias w:val="111 p."/>
                    <w:tag w:val="part_e4e55f368ed14ea4b3b619b231de6fee"/>
                    <w:id w:val="1064144866"/>
                    <w:lock w:val="sdtLocked"/>
                  </w:sdtPr>
                  <w:sdtEndPr/>
                  <w:sdtContent>
                    <w:p w14:paraId="1F190622" w14:textId="37FB6CB6" w:rsidR="00036FFB" w:rsidRDefault="007D44B9">
                      <w:pPr>
                        <w:spacing w:line="252" w:lineRule="auto"/>
                        <w:ind w:firstLine="720"/>
                        <w:jc w:val="both"/>
                        <w:rPr>
                          <w:szCs w:val="24"/>
                          <w:lang w:eastAsia="lt-LT"/>
                        </w:rPr>
                      </w:pPr>
                      <w:r>
                        <w:rPr>
                          <w:szCs w:val="24"/>
                        </w:rPr>
                        <w:t>„</w:t>
                      </w:r>
                      <w:sdt>
                        <w:sdtPr>
                          <w:alias w:val="Numeris"/>
                          <w:tag w:val="nr_e4e55f368ed14ea4b3b619b231de6fee"/>
                          <w:id w:val="1200592066"/>
                          <w:lock w:val="sdtLocked"/>
                        </w:sdtPr>
                        <w:sdtEndPr/>
                        <w:sdtContent>
                          <w:r>
                            <w:rPr>
                              <w:szCs w:val="24"/>
                              <w:lang w:eastAsia="lt-LT"/>
                            </w:rPr>
                            <w:t>111</w:t>
                          </w:r>
                        </w:sdtContent>
                      </w:sdt>
                      <w:r>
                        <w:rPr>
                          <w:szCs w:val="24"/>
                          <w:lang w:eastAsia="lt-LT"/>
                        </w:rPr>
                        <w:t>. Vartotojams, kuriems pagal Elektros energetikos įstatymą ir kitus teisės aktus visuomeninis tiekėjas privalo tiekti elektros energiją, visuomeninės elektros energijos kai</w:t>
                      </w:r>
                      <w:r>
                        <w:rPr>
                          <w:szCs w:val="24"/>
                          <w:lang w:eastAsia="lt-LT"/>
                        </w:rPr>
                        <w:t>nos viršutinė riba skaičiuojama sumuojant elektros energijos įsigijimo kainą, visuomeninio tiekimo paslaugos, perdavimo paslaugos AĮ tinklais kainos viršutinę ribą, sisteminių paslaugų, VIAP kainas ir skirstymo paslaugų, priklausomai nuo to, iš kurios įtam</w:t>
                      </w:r>
                      <w:r>
                        <w:rPr>
                          <w:szCs w:val="24"/>
                          <w:lang w:eastAsia="lt-LT"/>
                        </w:rPr>
                        <w:t xml:space="preserve">pos tinklų vartotojas gauna elektros energiją, kainų viršutines ribas, papildomas dedamąsias, nustatytas pagal Metodikos </w:t>
                      </w:r>
                      <w:r>
                        <w:rPr>
                          <w:rFonts w:eastAsia="MS Mincho"/>
                          <w:szCs w:val="24"/>
                          <w:lang w:eastAsia="lt-LT"/>
                        </w:rPr>
                        <w:t>96 punktą bei sumažinant gautą sumą suvartotos elektros energijos išlaidų dalinio kompensavimo buitiniams vartotojams dydžiais, nustaty</w:t>
                      </w:r>
                      <w:r>
                        <w:rPr>
                          <w:rFonts w:eastAsia="MS Mincho"/>
                          <w:szCs w:val="24"/>
                          <w:lang w:eastAsia="lt-LT"/>
                        </w:rPr>
                        <w:t xml:space="preserve">tais pagal </w:t>
                      </w:r>
                      <w:r>
                        <w:rPr>
                          <w:color w:val="000000"/>
                        </w:rPr>
                        <w:t>Energetikos įstatymo 19</w:t>
                      </w:r>
                      <w:r>
                        <w:rPr>
                          <w:color w:val="000000"/>
                          <w:vertAlign w:val="superscript"/>
                        </w:rPr>
                        <w:t>2</w:t>
                      </w:r>
                      <w:r>
                        <w:rPr>
                          <w:color w:val="000000"/>
                        </w:rPr>
                        <w:t xml:space="preserve"> straipsnį</w:t>
                      </w:r>
                      <w:r>
                        <w:rPr>
                          <w:szCs w:val="24"/>
                          <w:lang w:eastAsia="lt-LT"/>
                        </w:rPr>
                        <w:t>. Visuomeninių elektros energijos kainų viršutinės ribos papildomai įvertina reguliavimo svertus ir apskaičiuojamos pagal formulę:</w:t>
                      </w:r>
                    </w:p>
                    <w:p w14:paraId="513AF3C2" w14:textId="77777777" w:rsidR="00036FFB" w:rsidRDefault="00036FFB">
                      <w:pPr>
                        <w:spacing w:line="252" w:lineRule="auto"/>
                        <w:ind w:firstLine="720"/>
                        <w:jc w:val="both"/>
                        <w:rPr>
                          <w:szCs w:val="24"/>
                          <w:lang w:eastAsia="lt-LT"/>
                        </w:rPr>
                      </w:pPr>
                    </w:p>
                    <w:p w14:paraId="523838D3" w14:textId="76D56A88" w:rsidR="00036FFB" w:rsidRDefault="007D44B9">
                      <w:pPr>
                        <w:spacing w:line="252" w:lineRule="auto"/>
                        <w:jc w:val="center"/>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m:t>
                            </m:r>
                            <m:r>
                              <w:rPr>
                                <w:rFonts w:ascii="Cambria Math" w:hAnsi="Cambria Math"/>
                                <w:szCs w:val="24"/>
                              </w:rPr>
                              <m:t>,</m:t>
                            </m:r>
                            <m:r>
                              <w:rPr>
                                <w:rFonts w:ascii="Cambria Math" w:hAnsi="Cambria Math"/>
                                <w:szCs w:val="24"/>
                              </w:rPr>
                              <m:t>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m:rPr>
                            <m:sty m:val="bi"/>
                          </m:rPr>
                          <w:rPr>
                            <w:rFonts w:ascii="Cambria Math" w:hAnsi="Cambria Math"/>
                            <w:szCs w:val="24"/>
                            <w:lang w:eastAsia="lt-LT"/>
                          </w:rPr>
                          <m:t xml:space="preserve"> </m:t>
                        </m:r>
                      </m:oMath>
                      <w:r>
                        <w:rPr>
                          <w:szCs w:val="24"/>
                          <w:lang w:eastAsia="lt-LT"/>
                        </w:rPr>
                        <w:t>(75)</w:t>
                      </w:r>
                    </w:p>
                    <w:p w14:paraId="6AB3D6E8" w14:textId="77777777" w:rsidR="00036FFB" w:rsidRDefault="00036FFB">
                      <w:pPr>
                        <w:spacing w:line="252" w:lineRule="auto"/>
                        <w:ind w:firstLine="842"/>
                        <w:jc w:val="both"/>
                        <w:rPr>
                          <w:szCs w:val="24"/>
                          <w:lang w:eastAsia="lt-LT"/>
                        </w:rPr>
                      </w:pPr>
                    </w:p>
                    <w:p w14:paraId="6E2E2570" w14:textId="77777777" w:rsidR="00036FFB" w:rsidRDefault="007D44B9">
                      <w:pPr>
                        <w:spacing w:line="252" w:lineRule="auto"/>
                        <w:ind w:firstLine="720"/>
                        <w:jc w:val="both"/>
                        <w:rPr>
                          <w:szCs w:val="24"/>
                          <w:lang w:eastAsia="lt-LT"/>
                        </w:rPr>
                      </w:pPr>
                      <w:r>
                        <w:rPr>
                          <w:i/>
                          <w:szCs w:val="24"/>
                          <w:lang w:eastAsia="lt-LT"/>
                        </w:rPr>
                        <w:t>čia:</w:t>
                      </w:r>
                    </w:p>
                    <w:p w14:paraId="7B5F3C6F" w14:textId="77777777" w:rsidR="00036FFB" w:rsidRDefault="007D44B9">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EUR/kWh;</w:t>
                      </w:r>
                    </w:p>
                    <w:p w14:paraId="0F9E6D2E" w14:textId="77777777" w:rsidR="00036FFB" w:rsidRDefault="007D44B9">
                      <w:pPr>
                        <w:spacing w:line="252" w:lineRule="auto"/>
                        <w:ind w:firstLine="720"/>
                        <w:jc w:val="both"/>
                        <w:rPr>
                          <w:szCs w:val="24"/>
                          <w:lang w:eastAsia="lt-LT"/>
                        </w:rPr>
                      </w:pPr>
                      <w:proofErr w:type="spellStart"/>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proofErr w:type="spellEnd"/>
                      <w:r>
                        <w:rPr>
                          <w:szCs w:val="24"/>
                          <w:lang w:eastAsia="lt-LT"/>
                        </w:rPr>
                        <w:t> – prognozuojama elektros energijos įsigijimo kaina </w:t>
                      </w:r>
                      <w:r>
                        <w:rPr>
                          <w:i/>
                          <w:szCs w:val="24"/>
                          <w:lang w:eastAsia="lt-LT"/>
                        </w:rPr>
                        <w:t>t</w:t>
                      </w:r>
                      <w:r>
                        <w:rPr>
                          <w:szCs w:val="24"/>
                          <w:lang w:eastAsia="lt-LT"/>
                        </w:rPr>
                        <w:t> metais, EUR/kWh;</w:t>
                      </w:r>
                    </w:p>
                    <w:p w14:paraId="4BCF451E" w14:textId="77777777" w:rsidR="00036FFB" w:rsidRDefault="007D44B9">
                      <w:pPr>
                        <w:spacing w:line="252" w:lineRule="auto"/>
                        <w:ind w:firstLine="720"/>
                        <w:jc w:val="both"/>
                        <w:rPr>
                          <w:szCs w:val="24"/>
                          <w:lang w:eastAsia="lt-LT"/>
                        </w:rPr>
                      </w:pPr>
                      <w:proofErr w:type="spellStart"/>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proofErr w:type="spellEnd"/>
                      <w:r>
                        <w:rPr>
                          <w:szCs w:val="24"/>
                          <w:lang w:eastAsia="lt-LT"/>
                        </w:rPr>
                        <w:t> </w:t>
                      </w:r>
                      <w:r>
                        <w:rPr>
                          <w:szCs w:val="24"/>
                          <w:lang w:eastAsia="lt-LT"/>
                        </w:rPr>
                        <w:t>– elektros energijos visuomeninio tiekimo paslaugos kainos viršutinė riba </w:t>
                      </w:r>
                      <w:r>
                        <w:rPr>
                          <w:i/>
                          <w:szCs w:val="24"/>
                          <w:lang w:eastAsia="lt-LT"/>
                        </w:rPr>
                        <w:t>t </w:t>
                      </w:r>
                      <w:r>
                        <w:rPr>
                          <w:szCs w:val="24"/>
                          <w:lang w:eastAsia="lt-LT"/>
                        </w:rPr>
                        <w:t>metais, EUR/kWh;</w:t>
                      </w:r>
                    </w:p>
                    <w:p w14:paraId="699B6DB5" w14:textId="77777777" w:rsidR="00036FFB" w:rsidRDefault="007D44B9">
                      <w:pPr>
                        <w:spacing w:line="252" w:lineRule="auto"/>
                        <w:ind w:firstLine="720"/>
                        <w:jc w:val="both"/>
                        <w:rPr>
                          <w:szCs w:val="24"/>
                          <w:lang w:eastAsia="lt-LT"/>
                        </w:rPr>
                      </w:pPr>
                      <w:proofErr w:type="spellStart"/>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proofErr w:type="spellEnd"/>
                      <w:r>
                        <w:rPr>
                          <w:szCs w:val="24"/>
                          <w:vertAlign w:val="subscript"/>
                          <w:lang w:eastAsia="lt-LT"/>
                        </w:rPr>
                        <w:t> </w:t>
                      </w:r>
                      <w:r>
                        <w:rPr>
                          <w:szCs w:val="24"/>
                          <w:lang w:eastAsia="lt-LT"/>
                        </w:rPr>
                        <w:t>– Tarybos paskelbto elektros energijos persiuntimo paslaugos tarifų plano, taikomo ne mažiau kaip 95 procentams visuomeninio tiekėjo vartotojų, tarifų sver</w:t>
                      </w:r>
                      <w:r>
                        <w:rPr>
                          <w:szCs w:val="24"/>
                          <w:lang w:eastAsia="lt-LT"/>
                        </w:rPr>
                        <w:t xml:space="preserve">tinis vidurkis t metais, EUR/kWh; </w:t>
                      </w:r>
                    </w:p>
                    <w:p w14:paraId="0ACCA27B" w14:textId="77777777" w:rsidR="00036FFB" w:rsidRDefault="007D44B9">
                      <w:pPr>
                        <w:spacing w:line="252" w:lineRule="auto"/>
                        <w:ind w:firstLine="720"/>
                        <w:jc w:val="both"/>
                        <w:rPr>
                          <w:szCs w:val="24"/>
                          <w:lang w:eastAsia="lt-LT"/>
                        </w:rPr>
                      </w:pPr>
                      <w:proofErr w:type="spellStart"/>
                      <w:r>
                        <w:rPr>
                          <w:i/>
                          <w:szCs w:val="24"/>
                          <w:lang w:eastAsia="lt-LT"/>
                        </w:rPr>
                        <w:t>T</w:t>
                      </w:r>
                      <w:r>
                        <w:rPr>
                          <w:i/>
                          <w:szCs w:val="24"/>
                          <w:vertAlign w:val="subscript"/>
                          <w:lang w:eastAsia="lt-LT"/>
                        </w:rPr>
                        <w:t>viap,t</w:t>
                      </w:r>
                      <w:proofErr w:type="spellEnd"/>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w:t>
                      </w:r>
                      <w:r>
                        <w:rPr>
                          <w:szCs w:val="24"/>
                          <w:lang w:eastAsia="lt-LT"/>
                        </w:rPr>
                        <w:t>/kWh;</w:t>
                      </w:r>
                    </w:p>
                    <w:p w14:paraId="67820779" w14:textId="7464E81A" w:rsidR="00036FFB" w:rsidRDefault="007D44B9">
                      <w:pPr>
                        <w:spacing w:line="252" w:lineRule="auto"/>
                        <w:ind w:firstLine="709"/>
                        <w:jc w:val="both"/>
                        <w:rPr>
                          <w:szCs w:val="24"/>
                        </w:rPr>
                      </w:pPr>
                      <w:proofErr w:type="spellStart"/>
                      <w:r>
                        <w:rPr>
                          <w:i/>
                          <w:szCs w:val="24"/>
                          <w:lang w:eastAsia="lt-LT"/>
                        </w:rPr>
                        <w:t>ST</w:t>
                      </w:r>
                      <w:r>
                        <w:rPr>
                          <w:i/>
                          <w:szCs w:val="24"/>
                          <w:vertAlign w:val="subscript"/>
                          <w:lang w:eastAsia="lt-LT"/>
                        </w:rPr>
                        <w:t>t</w:t>
                      </w:r>
                      <w:proofErr w:type="spellEnd"/>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r>
                        <w:rPr>
                          <w:szCs w:val="24"/>
                        </w:rPr>
                        <w:t>.</w:t>
                      </w:r>
                    </w:p>
                    <w:p w14:paraId="161D3602" w14:textId="172CCF0D" w:rsidR="00036FFB" w:rsidRDefault="007D44B9">
                      <w:pPr>
                        <w:tabs>
                          <w:tab w:val="left" w:pos="993"/>
                        </w:tabs>
                        <w:ind w:firstLine="709"/>
                        <w:jc w:val="both"/>
                        <w:rPr>
                          <w:iCs/>
                          <w:szCs w:val="24"/>
                          <w:lang w:eastAsia="lt-LT"/>
                        </w:rPr>
                      </w:pPr>
                      <w:r>
                        <w:rPr>
                          <w:iCs/>
                          <w:szCs w:val="24"/>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proofErr w:type="spellStart"/>
                      <w:r>
                        <w:rPr>
                          <w:i/>
                          <w:szCs w:val="24"/>
                          <w:lang w:eastAsia="lt-LT"/>
                        </w:rPr>
                        <w:t>ST</w:t>
                      </w:r>
                      <w:r>
                        <w:rPr>
                          <w:i/>
                          <w:szCs w:val="24"/>
                          <w:vertAlign w:val="subscript"/>
                          <w:lang w:eastAsia="lt-LT"/>
                        </w:rPr>
                        <w:t>t</w:t>
                      </w:r>
                      <w:proofErr w:type="spellEnd"/>
                      <w:r>
                        <w:rPr>
                          <w:i/>
                          <w:szCs w:val="24"/>
                          <w:lang w:eastAsia="lt-LT"/>
                        </w:rPr>
                        <w:t xml:space="preserve"> </w:t>
                      </w:r>
                      <w:r>
                        <w:rPr>
                          <w:iCs/>
                          <w:szCs w:val="24"/>
                          <w:lang w:eastAsia="lt-LT"/>
                        </w:rPr>
                        <w:t xml:space="preserve">dedamąją. To paties straipsnio </w:t>
                      </w:r>
                      <w:r>
                        <w:rPr>
                          <w:color w:val="000000"/>
                        </w:rPr>
                        <w:t xml:space="preserve">2 dalies </w:t>
                      </w:r>
                      <w:r>
                        <w:rPr>
                          <w:color w:val="000000"/>
                        </w:rPr>
                        <w:br/>
                        <w:t xml:space="preserve">1 punkto b papunktyje nurodyta dalinė kompensacija įvertinama mažinant </w:t>
                      </w:r>
                      <w:r>
                        <w:rPr>
                          <w:szCs w:val="24"/>
                          <w:lang w:eastAsia="lt-LT"/>
                        </w:rPr>
                        <w:t>galutinius visuomeninio tiekėjo išdiferencijuotus elektros energijos tarifus. Tuo atveju, kai dėl kompensacijų taikymo visuomeninės elektros energijos kainos konkreti dedamoji</w:t>
                      </w:r>
                      <w:r>
                        <w:rPr>
                          <w:szCs w:val="24"/>
                          <w:lang w:eastAsia="lt-LT"/>
                        </w:rPr>
                        <w:t xml:space="preserve"> nustatoma ir be kompensacijų ir su kompensacijomis, analogiškai rodomos ir dvi visuomeninės elektros energijos kainos viršutinės ribos.“</w:t>
                      </w:r>
                    </w:p>
                  </w:sdtContent>
                </w:sdt>
              </w:sdtContent>
            </w:sdt>
          </w:sdtContent>
        </w:sdt>
        <w:sdt>
          <w:sdtPr>
            <w:alias w:val="8 p."/>
            <w:tag w:val="part_37964abe44b84d9d8354d25bfc10579c"/>
            <w:id w:val="-336545308"/>
            <w:lock w:val="sdtLocked"/>
          </w:sdtPr>
          <w:sdtEndPr/>
          <w:sdtContent>
            <w:p w14:paraId="3923FD46" w14:textId="497AD8D9" w:rsidR="00036FFB" w:rsidRDefault="007D44B9">
              <w:pPr>
                <w:tabs>
                  <w:tab w:val="left" w:pos="993"/>
                </w:tabs>
                <w:ind w:left="1080" w:hanging="360"/>
                <w:jc w:val="both"/>
              </w:pPr>
              <w:sdt>
                <w:sdtPr>
                  <w:alias w:val="Numeris"/>
                  <w:tag w:val="nr_37964abe44b84d9d8354d25bfc10579c"/>
                  <w:id w:val="-1115980250"/>
                  <w:lock w:val="sdtLocked"/>
                </w:sdtPr>
                <w:sdtEndPr/>
                <w:sdtContent>
                  <w:r>
                    <w:t>8</w:t>
                  </w:r>
                </w:sdtContent>
              </w:sdt>
              <w:r>
                <w:t>.</w:t>
              </w:r>
              <w:r>
                <w:tab/>
                <w:t xml:space="preserve">Papildyti </w:t>
              </w:r>
              <w:r>
                <w:rPr>
                  <w:szCs w:val="24"/>
                  <w:lang w:eastAsia="lt-LT"/>
                </w:rPr>
                <w:t>115</w:t>
              </w:r>
              <w:r>
                <w:rPr>
                  <w:szCs w:val="24"/>
                  <w:vertAlign w:val="superscript"/>
                  <w:lang w:eastAsia="lt-LT"/>
                </w:rPr>
                <w:t>1</w:t>
              </w:r>
              <w:r>
                <w:rPr>
                  <w:szCs w:val="24"/>
                  <w:lang w:eastAsia="lt-LT"/>
                </w:rPr>
                <w:t xml:space="preserve"> </w:t>
              </w:r>
              <w:r>
                <w:t>punktu:</w:t>
              </w:r>
            </w:p>
            <w:sdt>
              <w:sdtPr>
                <w:alias w:val="citata"/>
                <w:tag w:val="part_1c456fec1b9745fea86d93f91b40bd11"/>
                <w:id w:val="1041478850"/>
                <w:lock w:val="sdtLocked"/>
              </w:sdtPr>
              <w:sdtEndPr/>
              <w:sdtContent>
                <w:sdt>
                  <w:sdtPr>
                    <w:alias w:val="115-1 p."/>
                    <w:tag w:val="part_fcb353a3eead4b7e9d3625dd15d4078d"/>
                    <w:id w:val="-707328580"/>
                    <w:lock w:val="sdtLocked"/>
                  </w:sdtPr>
                  <w:sdtEndPr/>
                  <w:sdtContent>
                    <w:p w14:paraId="1118628D" w14:textId="77777777" w:rsidR="00036FFB" w:rsidRDefault="007D44B9">
                      <w:pPr>
                        <w:spacing w:line="252" w:lineRule="auto"/>
                        <w:ind w:right="-1" w:firstLine="709"/>
                        <w:jc w:val="both"/>
                        <w:rPr>
                          <w:szCs w:val="24"/>
                          <w:lang w:eastAsia="lt-LT"/>
                        </w:rPr>
                      </w:pPr>
                      <w:r>
                        <w:t>„</w:t>
                      </w:r>
                      <w:sdt>
                        <w:sdtPr>
                          <w:alias w:val="Numeris"/>
                          <w:tag w:val="nr_fcb353a3eead4b7e9d3625dd15d4078d"/>
                          <w:id w:val="-714192706"/>
                          <w:lock w:val="sdtLocked"/>
                        </w:sdtPr>
                        <w:sdtEndPr/>
                        <w:sdtContent>
                          <w:r>
                            <w:rPr>
                              <w:szCs w:val="24"/>
                              <w:lang w:eastAsia="lt-LT"/>
                            </w:rPr>
                            <w:t>115</w:t>
                          </w:r>
                          <w:r>
                            <w:rPr>
                              <w:szCs w:val="24"/>
                              <w:vertAlign w:val="superscript"/>
                              <w:lang w:eastAsia="lt-LT"/>
                            </w:rPr>
                            <w:t>1</w:t>
                          </w:r>
                        </w:sdtContent>
                      </w:sdt>
                      <w:r>
                        <w:rPr>
                          <w:szCs w:val="24"/>
                          <w:lang w:eastAsia="lt-LT"/>
                        </w:rPr>
                        <w:t>. Tarybos sprendimu įvertinamas Tarybos nustatytos prognozuotos ir prognozuoj</w:t>
                      </w:r>
                      <w:r>
                        <w:rPr>
                          <w:szCs w:val="24"/>
                          <w:lang w:eastAsia="lt-LT"/>
                        </w:rPr>
                        <w:t xml:space="preserve">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i/>
                          <w:iCs/>
                          <w:szCs w:val="24"/>
                          <w:lang w:eastAsia="lt-LT"/>
                        </w:rPr>
                        <w:t>-1</w:t>
                      </w:r>
                      <w:r>
                        <w:rPr>
                          <w:szCs w:val="24"/>
                          <w:lang w:eastAsia="lt-LT"/>
                        </w:rPr>
                        <w:t xml:space="preserve"> metų gegužės 1 d. – birželio 30 d. arba spalio 1 d. – gruodž</w:t>
                      </w:r>
                      <w:r>
                        <w:rPr>
                          <w:szCs w:val="24"/>
                          <w:lang w:eastAsia="lt-LT"/>
                        </w:rPr>
                        <w:t xml:space="preserve">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w:t>
                      </w:r>
                      <w:r>
                        <w:rPr>
                          <w:szCs w:val="24"/>
                          <w:lang w:eastAsia="lt-LT"/>
                        </w:rPr>
                        <w:t>ormulę:</w:t>
                      </w:r>
                    </w:p>
                    <w:p w14:paraId="14D8FC1B" w14:textId="77777777" w:rsidR="00036FFB" w:rsidRDefault="00036FFB">
                      <w:pPr>
                        <w:spacing w:line="252" w:lineRule="auto"/>
                        <w:ind w:right="-1"/>
                        <w:jc w:val="both"/>
                        <w:rPr>
                          <w:szCs w:val="24"/>
                          <w:lang w:eastAsia="lt-LT"/>
                        </w:rPr>
                      </w:pPr>
                    </w:p>
                    <w:p w14:paraId="634C571F" w14:textId="2163824D" w:rsidR="00036FFB" w:rsidRDefault="007D44B9">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r>
                              <w:rPr>
                                <w:rFonts w:ascii="Cambria Math" w:hAnsi="Cambria Math"/>
                                <w:szCs w:val="24"/>
                                <w:lang w:eastAsia="lt-LT"/>
                              </w:rPr>
                              <m:t>l</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r>
                              <w:rPr>
                                <w:rFonts w:ascii="Cambria Math" w:hAnsi="Cambria Math"/>
                                <w:szCs w:val="24"/>
                                <w:lang w:eastAsia="lt-LT"/>
                              </w:rPr>
                              <m:t>,</m:t>
                            </m:r>
                            <m:r>
                              <w:rPr>
                                <w:rFonts w:ascii="Cambria Math" w:hAnsi="Cambria Math"/>
                                <w:szCs w:val="24"/>
                                <w:lang w:eastAsia="lt-LT"/>
                              </w:rPr>
                              <m:t>pl</m:t>
                            </m:r>
                            <m:r>
                              <w:rPr>
                                <w:rFonts w:ascii="Cambria Math" w:hAnsi="Cambria Math"/>
                                <w:szCs w:val="24"/>
                                <w:lang w:eastAsia="lt-LT"/>
                              </w:rPr>
                              <m:t xml:space="preserve"> </m:t>
                            </m:r>
                          </m:sub>
                        </m:sSub>
                      </m:oMath>
                      <w:r>
                        <w:rPr>
                          <w:szCs w:val="24"/>
                          <w:lang w:eastAsia="lt-LT"/>
                        </w:rPr>
                        <w:t>(77)</w:t>
                      </w:r>
                    </w:p>
                    <w:p w14:paraId="02B72CC3" w14:textId="77777777" w:rsidR="00036FFB" w:rsidRDefault="00036FFB">
                      <w:pPr>
                        <w:spacing w:line="252" w:lineRule="auto"/>
                        <w:rPr>
                          <w:szCs w:val="24"/>
                        </w:rPr>
                      </w:pPr>
                    </w:p>
                    <w:p w14:paraId="483CE8EA" w14:textId="77777777" w:rsidR="00036FFB" w:rsidRDefault="007D44B9">
                      <w:pPr>
                        <w:spacing w:line="252" w:lineRule="auto"/>
                        <w:ind w:firstLine="720"/>
                        <w:jc w:val="both"/>
                        <w:rPr>
                          <w:szCs w:val="24"/>
                          <w:lang w:eastAsia="lt-LT"/>
                        </w:rPr>
                      </w:pPr>
                      <w:r>
                        <w:rPr>
                          <w:i/>
                          <w:szCs w:val="24"/>
                          <w:lang w:eastAsia="lt-LT"/>
                        </w:rPr>
                        <w:t>čia:</w:t>
                      </w:r>
                    </w:p>
                    <w:p w14:paraId="63C03C10" w14:textId="77777777" w:rsidR="00036FFB" w:rsidRDefault="007D44B9">
                      <w:pPr>
                        <w:spacing w:line="252" w:lineRule="auto"/>
                        <w:ind w:firstLine="709"/>
                        <w:jc w:val="both"/>
                        <w:rPr>
                          <w:szCs w:val="24"/>
                          <w:lang w:eastAsia="lt-LT"/>
                        </w:rPr>
                      </w:pPr>
                      <w:proofErr w:type="spellStart"/>
                      <w:r>
                        <w:rPr>
                          <w:i/>
                          <w:szCs w:val="24"/>
                          <w:lang w:eastAsia="lt-LT"/>
                        </w:rPr>
                        <w:t>T</w:t>
                      </w:r>
                      <w:r>
                        <w:rPr>
                          <w:i/>
                          <w:szCs w:val="24"/>
                          <w:vertAlign w:val="subscript"/>
                          <w:lang w:eastAsia="lt-LT"/>
                        </w:rPr>
                        <w:t>g,l</w:t>
                      </w:r>
                      <w:proofErr w:type="spellEnd"/>
                      <w:r>
                        <w:rPr>
                          <w:szCs w:val="24"/>
                          <w:lang w:eastAsia="lt-LT"/>
                        </w:rPr>
                        <w:t xml:space="preserve"> – sąnaudų skirtumas, susidaręs atitinkamu laikotarpiu dėl prognozuojamos</w:t>
                      </w:r>
                      <w:r>
                        <w:t xml:space="preserve">, </w:t>
                      </w:r>
                      <w:r>
                        <w:rPr>
                          <w:szCs w:val="24"/>
                          <w:lang w:eastAsia="lt-LT"/>
                        </w:rPr>
                        <w:t xml:space="preserve">už likusį laikotarpį, kuriam galioja nustatyti einamųjų metų visuomeninės elektros energijos tarifai, elektros </w:t>
                      </w:r>
                      <w:r>
                        <w:rPr>
                          <w:szCs w:val="24"/>
                          <w:lang w:eastAsia="lt-LT"/>
                        </w:rPr>
                        <w:t>energijos įsigijimo kainos ir nustatytos prognozuotos elektros energijos įsigijimo kainos skirtumo, EUR;</w:t>
                      </w:r>
                    </w:p>
                    <w:p w14:paraId="60CD2799" w14:textId="77777777" w:rsidR="00036FFB" w:rsidRDefault="007D44B9">
                      <w:pPr>
                        <w:spacing w:line="252" w:lineRule="auto"/>
                        <w:ind w:firstLine="709"/>
                        <w:jc w:val="both"/>
                        <w:rPr>
                          <w:szCs w:val="24"/>
                          <w:lang w:eastAsia="lt-LT"/>
                        </w:rPr>
                      </w:pPr>
                      <w:proofErr w:type="spellStart"/>
                      <w:r>
                        <w:rPr>
                          <w:i/>
                          <w:szCs w:val="24"/>
                          <w:lang w:eastAsia="lt-LT"/>
                        </w:rPr>
                        <w:t>T</w:t>
                      </w:r>
                      <w:r>
                        <w:rPr>
                          <w:i/>
                          <w:szCs w:val="24"/>
                          <w:vertAlign w:val="subscript"/>
                          <w:lang w:eastAsia="lt-LT"/>
                        </w:rPr>
                        <w:t>g,p</w:t>
                      </w:r>
                      <w:proofErr w:type="spellEnd"/>
                      <w:r>
                        <w:rPr>
                          <w:szCs w:val="24"/>
                          <w:lang w:eastAsia="lt-LT"/>
                        </w:rPr>
                        <w:t xml:space="preserve"> – atitinkamam laikotarpiui nustatyta prognozuojama elektros energijos įsigijimo kaina, EUR/kWh;</w:t>
                      </w:r>
                    </w:p>
                    <w:p w14:paraId="3975071A" w14:textId="35DA4773" w:rsidR="00036FFB" w:rsidRDefault="007D44B9">
                      <w:pPr>
                        <w:spacing w:line="252" w:lineRule="auto"/>
                        <w:ind w:firstLine="709"/>
                        <w:jc w:val="both"/>
                        <w:rPr>
                          <w:szCs w:val="24"/>
                          <w:lang w:eastAsia="lt-LT"/>
                        </w:rPr>
                      </w:pPr>
                      <w:proofErr w:type="spellStart"/>
                      <w:r>
                        <w:rPr>
                          <w:i/>
                          <w:szCs w:val="24"/>
                          <w:lang w:eastAsia="lt-LT"/>
                        </w:rPr>
                        <w:t>T</w:t>
                      </w:r>
                      <w:r>
                        <w:rPr>
                          <w:i/>
                          <w:szCs w:val="24"/>
                          <w:vertAlign w:val="subscript"/>
                          <w:lang w:eastAsia="lt-LT"/>
                        </w:rPr>
                        <w:t>g,pl</w:t>
                      </w:r>
                      <w:proofErr w:type="spellEnd"/>
                      <w:r>
                        <w:rPr>
                          <w:i/>
                          <w:szCs w:val="24"/>
                          <w:vertAlign w:val="subscript"/>
                          <w:lang w:eastAsia="lt-LT"/>
                        </w:rPr>
                        <w:t xml:space="preserve"> </w:t>
                      </w:r>
                      <w:r>
                        <w:rPr>
                          <w:szCs w:val="24"/>
                          <w:lang w:eastAsia="lt-LT"/>
                        </w:rPr>
                        <w:t>– prognozuojama</w:t>
                      </w:r>
                      <w:r>
                        <w:t xml:space="preserve">, </w:t>
                      </w:r>
                      <w:r>
                        <w:rPr>
                          <w:szCs w:val="24"/>
                          <w:lang w:eastAsia="lt-LT"/>
                        </w:rPr>
                        <w:t>už likusį laikotarpį, kuria</w:t>
                      </w:r>
                      <w:r>
                        <w:rPr>
                          <w:szCs w:val="24"/>
                          <w:lang w:eastAsia="lt-LT"/>
                        </w:rPr>
                        <w:t>m galioja nustatyti einamųjų metų visuomeninės elektros energijos tarifai, elektros energijos įsigijimo kaina atitinkamam laikotarpiui, EUR/kWh;</w:t>
                      </w:r>
                    </w:p>
                    <w:p w14:paraId="7F386D50" w14:textId="5F929D8F" w:rsidR="00036FFB" w:rsidRDefault="007D44B9">
                      <w:pPr>
                        <w:spacing w:line="252" w:lineRule="auto"/>
                        <w:ind w:firstLine="709"/>
                        <w:jc w:val="both"/>
                        <w:rPr>
                          <w:szCs w:val="24"/>
                        </w:rPr>
                      </w:pPr>
                      <w:proofErr w:type="spellStart"/>
                      <w:r>
                        <w:rPr>
                          <w:i/>
                          <w:szCs w:val="24"/>
                          <w:lang w:eastAsia="lt-LT"/>
                        </w:rPr>
                        <w:t>E</w:t>
                      </w:r>
                      <w:r>
                        <w:rPr>
                          <w:i/>
                          <w:szCs w:val="24"/>
                          <w:vertAlign w:val="subscript"/>
                          <w:lang w:eastAsia="lt-LT"/>
                        </w:rPr>
                        <w:t>vt,pl</w:t>
                      </w:r>
                      <w:proofErr w:type="spellEnd"/>
                      <w:r>
                        <w:rPr>
                          <w:szCs w:val="24"/>
                          <w:lang w:eastAsia="lt-LT"/>
                        </w:rPr>
                        <w:t xml:space="preserve"> – visuomeninio tiekėjo prognozuojamas parduoti elektros energijos kiekis atitinkamu laikotarpiu, kWh.“</w:t>
                      </w:r>
                    </w:p>
                  </w:sdtContent>
                </w:sdt>
              </w:sdtContent>
            </w:sdt>
          </w:sdtContent>
        </w:sdt>
        <w:sdt>
          <w:sdtPr>
            <w:alias w:val="9 p."/>
            <w:tag w:val="part_8513327cc30840038c887d2830a2fdda"/>
            <w:id w:val="-694848496"/>
            <w:lock w:val="sdtLocked"/>
          </w:sdtPr>
          <w:sdtEndPr/>
          <w:sdtContent>
            <w:p w14:paraId="5AE3A193" w14:textId="476003B4" w:rsidR="00036FFB" w:rsidRDefault="007D44B9">
              <w:pPr>
                <w:tabs>
                  <w:tab w:val="left" w:pos="993"/>
                </w:tabs>
                <w:ind w:left="1080" w:hanging="360"/>
                <w:jc w:val="both"/>
                <w:rPr>
                  <w:szCs w:val="24"/>
                </w:rPr>
              </w:pPr>
              <w:sdt>
                <w:sdtPr>
                  <w:alias w:val="Numeris"/>
                  <w:tag w:val="nr_8513327cc30840038c887d2830a2fdda"/>
                  <w:id w:val="-955864490"/>
                  <w:lock w:val="sdtLocked"/>
                </w:sdtPr>
                <w:sdtEndPr/>
                <w:sdtContent>
                  <w:r>
                    <w:rPr>
                      <w:szCs w:val="24"/>
                    </w:rPr>
                    <w:t>9</w:t>
                  </w:r>
                </w:sdtContent>
              </w:sdt>
              <w:r>
                <w:rPr>
                  <w:szCs w:val="24"/>
                </w:rPr>
                <w:t>.</w:t>
              </w:r>
              <w:r>
                <w:rPr>
                  <w:szCs w:val="24"/>
                </w:rPr>
                <w:tab/>
                <w:t>Pakeisti 118 punkto formulės numeraciją:</w:t>
              </w:r>
            </w:p>
            <w:p w14:paraId="452FA11D" w14:textId="4F449F30" w:rsidR="00036FFB" w:rsidRDefault="00036FFB">
              <w:pPr>
                <w:tabs>
                  <w:tab w:val="left" w:pos="993"/>
                </w:tabs>
                <w:jc w:val="both"/>
                <w:rPr>
                  <w:szCs w:val="24"/>
                </w:rPr>
              </w:pPr>
            </w:p>
            <w:p w14:paraId="7572C6DD" w14:textId="3217237F" w:rsidR="00036FFB" w:rsidRDefault="007D44B9">
              <w:pPr>
                <w:spacing w:line="252" w:lineRule="auto"/>
                <w:jc w:val="center"/>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 xml:space="preserve"> </m:t>
                </m:r>
              </m:oMath>
              <w:r>
                <w:rPr>
                  <w:szCs w:val="24"/>
                  <w:lang w:eastAsia="lt-LT"/>
                </w:rPr>
                <w:t>(78)</w:t>
              </w:r>
            </w:p>
            <w:p w14:paraId="243AB972" w14:textId="0D2AB558" w:rsidR="00036FFB" w:rsidRDefault="007D44B9">
              <w:pPr>
                <w:tabs>
                  <w:tab w:val="left" w:pos="993"/>
                </w:tabs>
                <w:jc w:val="both"/>
                <w:rPr>
                  <w:szCs w:val="24"/>
                </w:rPr>
              </w:pPr>
            </w:p>
          </w:sdtContent>
        </w:sdt>
        <w:sdt>
          <w:sdtPr>
            <w:alias w:val="10 p."/>
            <w:tag w:val="part_16bd07ffbef24aabba522c0b69356cf8"/>
            <w:id w:val="-630867315"/>
            <w:lock w:val="sdtLocked"/>
          </w:sdtPr>
          <w:sdtEndPr/>
          <w:sdtContent>
            <w:p w14:paraId="26324215" w14:textId="7C91B81B" w:rsidR="00036FFB" w:rsidRDefault="007D44B9">
              <w:pPr>
                <w:tabs>
                  <w:tab w:val="left" w:pos="993"/>
                </w:tabs>
                <w:ind w:left="720"/>
                <w:jc w:val="both"/>
              </w:pPr>
              <w:sdt>
                <w:sdtPr>
                  <w:alias w:val="Numeris"/>
                  <w:tag w:val="nr_16bd07ffbef24aabba522c0b69356cf8"/>
                  <w:id w:val="-635025891"/>
                  <w:lock w:val="sdtLocked"/>
                </w:sdtPr>
                <w:sdtEndPr/>
                <w:sdtContent>
                  <w:r>
                    <w:rPr>
                      <w:color w:val="000000"/>
                      <w:szCs w:val="24"/>
                      <w:lang w:eastAsia="lt-LT"/>
                    </w:rPr>
                    <w:t>10</w:t>
                  </w:r>
                </w:sdtContent>
              </w:sdt>
              <w:r>
                <w:rPr>
                  <w:color w:val="000000"/>
                  <w:szCs w:val="24"/>
                  <w:lang w:eastAsia="lt-LT"/>
                </w:rPr>
                <w:t>. Pakeisti 124 punktą ir jį išdėstyti taip:</w:t>
              </w:r>
            </w:p>
            <w:sdt>
              <w:sdtPr>
                <w:alias w:val="citata"/>
                <w:tag w:val="part_61646b353489417da00089c7315c7989"/>
                <w:id w:val="879816585"/>
                <w:lock w:val="sdtLocked"/>
              </w:sdtPr>
              <w:sdtEndPr/>
              <w:sdtContent>
                <w:sdt>
                  <w:sdtPr>
                    <w:alias w:val="124 p."/>
                    <w:tag w:val="part_3718ec5c1d214785bcd1b4e5a0b5a5bb"/>
                    <w:id w:val="-290826247"/>
                    <w:lock w:val="sdtLocked"/>
                  </w:sdtPr>
                  <w:sdtEndPr/>
                  <w:sdtContent>
                    <w:p w14:paraId="44F2047C" w14:textId="36341673" w:rsidR="00036FFB" w:rsidRDefault="007D44B9">
                      <w:pPr>
                        <w:tabs>
                          <w:tab w:val="left" w:pos="993"/>
                        </w:tabs>
                        <w:ind w:firstLine="709"/>
                        <w:jc w:val="both"/>
                        <w:rPr>
                          <w:b/>
                          <w:bCs/>
                          <w:color w:val="000000"/>
                          <w:shd w:val="clear" w:color="auto" w:fill="FFFFFF"/>
                        </w:rPr>
                      </w:pPr>
                      <w:r>
                        <w:rPr>
                          <w:color w:val="000000"/>
                        </w:rPr>
                        <w:t>„</w:t>
                      </w:r>
                      <w:sdt>
                        <w:sdtPr>
                          <w:alias w:val="Numeris"/>
                          <w:tag w:val="nr_3718ec5c1d214785bcd1b4e5a0b5a5bb"/>
                          <w:id w:val="556435377"/>
                          <w:lock w:val="sdtLocked"/>
                        </w:sdtPr>
                        <w:sdtEndPr/>
                        <w:sdtContent>
                          <w:r>
                            <w:rPr>
                              <w:color w:val="000000"/>
                            </w:rPr>
                            <w:t>124</w:t>
                          </w:r>
                        </w:sdtContent>
                      </w:sdt>
                      <w:r>
                        <w:rPr>
                          <w:color w:val="000000"/>
                        </w:rPr>
                        <w:t>. Metodikos 96 punkte nurodytų papildomų dedamųjų prie buitiniams vartotojams </w:t>
                      </w:r>
                      <w:r>
                        <w:rPr>
                          <w:i/>
                          <w:iCs/>
                          <w:color w:val="000000"/>
                        </w:rPr>
                        <w:t>t </w:t>
                      </w:r>
                      <w:r>
                        <w:rPr>
                          <w:color w:val="000000"/>
                        </w:rPr>
                        <w:t>metų skirstymo paslaugos kainoms apskaičiuoti visuomeninis tiekėjas (po 2023 m. sausio 1 d. – visuomenino tiekimo veiklą iki 2022 m. gruodžio 31 d. vykdęs asmuo) įprastine</w:t>
                      </w:r>
                      <w:r>
                        <w:rPr>
                          <w:color w:val="000000"/>
                        </w:rPr>
                        <w:t xml:space="preserv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w:t>
                      </w:r>
                      <w:r>
                        <w:rPr>
                          <w:color w:val="000000"/>
                          <w:shd w:val="clear" w:color="auto" w:fill="FFFFFF"/>
                        </w:rPr>
                        <w:t xml:space="preserve">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w:t>
                      </w:r>
                      <w:r>
                        <w:rPr>
                          <w:color w:val="000000"/>
                        </w:rPr>
                        <w:t>e nurodyto dalinio kompensavimo apskaičiavimo ir išmokėjimo administravimu, priklausomai nuo konkretaus papildomos dedamosios perskaičiavimo atvejo, pateikia analogiškais terminais, kaip ir visuomeninis tiekėjas.“</w:t>
                      </w:r>
                    </w:p>
                    <w:p w14:paraId="6649E50E" w14:textId="2E7C1049" w:rsidR="00036FFB" w:rsidRDefault="00036FFB">
                      <w:pPr>
                        <w:tabs>
                          <w:tab w:val="left" w:pos="993"/>
                        </w:tabs>
                        <w:jc w:val="both"/>
                        <w:rPr>
                          <w:b/>
                          <w:bCs/>
                          <w:color w:val="000000"/>
                          <w:shd w:val="clear" w:color="auto" w:fill="FFFFFF"/>
                        </w:rPr>
                      </w:pPr>
                    </w:p>
                    <w:p w14:paraId="0AB8A9F9" w14:textId="77777777" w:rsidR="00036FFB" w:rsidRDefault="007D44B9">
                      <w:pPr>
                        <w:tabs>
                          <w:tab w:val="left" w:pos="993"/>
                        </w:tabs>
                        <w:jc w:val="both"/>
                        <w:rPr>
                          <w:szCs w:val="32"/>
                          <w:lang w:eastAsia="lt-LT"/>
                        </w:rPr>
                      </w:pPr>
                    </w:p>
                  </w:sdtContent>
                </w:sdt>
              </w:sdtContent>
            </w:sdt>
          </w:sdtContent>
        </w:sdt>
        <w:sdt>
          <w:sdtPr>
            <w:alias w:val="signatura"/>
            <w:tag w:val="part_747b1a5e250e45e29e6e1b99756898ce"/>
            <w:id w:val="194812954"/>
            <w:lock w:val="sdtLocked"/>
          </w:sdtPr>
          <w:sdtEndPr/>
          <w:sdtContent>
            <w:p w14:paraId="20C91060" w14:textId="6391E4FA" w:rsidR="00036FFB" w:rsidRDefault="007D44B9" w:rsidP="007D44B9">
              <w:pPr>
                <w:tabs>
                  <w:tab w:val="left" w:pos="7938"/>
                </w:tabs>
                <w:jc w:val="both"/>
              </w:pPr>
              <w:r>
                <w:rPr>
                  <w:szCs w:val="24"/>
                  <w:lang w:eastAsia="lt-LT"/>
                </w:rPr>
                <w:t>Tarybos pirmininkas</w:t>
              </w:r>
              <w:r>
                <w:rPr>
                  <w:szCs w:val="24"/>
                  <w:lang w:eastAsia="lt-LT"/>
                </w:rPr>
                <w:tab/>
              </w:r>
              <w:r>
                <w:rPr>
                  <w:szCs w:val="24"/>
                  <w:lang w:eastAsia="lt-LT"/>
                </w:rPr>
                <w:t>Renatas Pocius</w:t>
              </w:r>
              <w:r>
                <w:rPr>
                  <w:szCs w:val="24"/>
                </w:rPr>
                <w:t xml:space="preserve"> </w:t>
              </w:r>
            </w:p>
          </w:sdtContent>
        </w:sdt>
      </w:sdtContent>
    </w:sdt>
    <w:sectPr w:rsidR="00036FFB">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cols w:space="708"/>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E4C396" w14:textId="77777777" w:rsidR="00036FFB" w:rsidRDefault="007D44B9">
      <w:r>
        <w:separator/>
      </w:r>
    </w:p>
  </w:endnote>
  <w:endnote w:type="continuationSeparator" w:id="0">
    <w:p w14:paraId="053D1F25" w14:textId="77777777" w:rsidR="00036FFB" w:rsidRDefault="007D44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1F911" w14:textId="77777777" w:rsidR="00036FFB" w:rsidRDefault="00036FFB">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360DC8" w14:textId="77777777" w:rsidR="00036FFB" w:rsidRDefault="00036FFB">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9EDEE" w14:textId="77777777" w:rsidR="00036FFB" w:rsidRDefault="00036FFB">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619F0C" w14:textId="77777777" w:rsidR="00036FFB" w:rsidRDefault="007D44B9">
      <w:r>
        <w:separator/>
      </w:r>
    </w:p>
  </w:footnote>
  <w:footnote w:type="continuationSeparator" w:id="0">
    <w:p w14:paraId="5F6A2E56" w14:textId="77777777" w:rsidR="00036FFB" w:rsidRDefault="007D44B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19F78D" w14:textId="77777777" w:rsidR="00036FFB" w:rsidRDefault="00036FFB">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2BEA6" w14:textId="5874900D" w:rsidR="00036FFB" w:rsidRDefault="007D44B9">
    <w:pPr>
      <w:tabs>
        <w:tab w:val="center" w:pos="4819"/>
        <w:tab w:val="right" w:pos="9638"/>
      </w:tabs>
      <w:jc w:val="center"/>
    </w:pPr>
    <w:r>
      <w:fldChar w:fldCharType="begin"/>
    </w:r>
    <w:r>
      <w:instrText>PAGE   \* MERGEFORMAT</w:instrText>
    </w:r>
    <w:r>
      <w:fldChar w:fldCharType="separate"/>
    </w:r>
    <w:r>
      <w:rPr>
        <w:noProof/>
      </w:rPr>
      <w:t>4</w:t>
    </w:r>
    <w:r>
      <w:fldChar w:fldCharType="end"/>
    </w:r>
  </w:p>
  <w:p w14:paraId="623C601F" w14:textId="77777777" w:rsidR="00036FFB" w:rsidRDefault="00036FFB">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B503DC" w14:textId="77777777" w:rsidR="00036FFB" w:rsidRDefault="00036FF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CF7"/>
    <w:rsid w:val="00036FFB"/>
    <w:rsid w:val="005A6CF7"/>
    <w:rsid w:val="007D44B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24BD3"/>
  <w15:docId w15:val="{C59154C7-6F5F-494B-972E-01F6FBAA0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160698">
      <w:bodyDiv w:val="1"/>
      <w:marLeft w:val="0"/>
      <w:marRight w:val="0"/>
      <w:marTop w:val="0"/>
      <w:marBottom w:val="0"/>
      <w:divBdr>
        <w:top w:val="none" w:sz="0" w:space="0" w:color="auto"/>
        <w:left w:val="none" w:sz="0" w:space="0" w:color="auto"/>
        <w:bottom w:val="none" w:sz="0" w:space="0" w:color="auto"/>
        <w:right w:val="none" w:sz="0" w:space="0" w:color="auto"/>
      </w:divBdr>
    </w:div>
    <w:div w:id="328212457">
      <w:bodyDiv w:val="1"/>
      <w:marLeft w:val="0"/>
      <w:marRight w:val="0"/>
      <w:marTop w:val="0"/>
      <w:marBottom w:val="0"/>
      <w:divBdr>
        <w:top w:val="none" w:sz="0" w:space="0" w:color="auto"/>
        <w:left w:val="none" w:sz="0" w:space="0" w:color="auto"/>
        <w:bottom w:val="none" w:sz="0" w:space="0" w:color="auto"/>
        <w:right w:val="none" w:sz="0" w:space="0" w:color="auto"/>
      </w:divBdr>
    </w:div>
    <w:div w:id="331034769">
      <w:bodyDiv w:val="1"/>
      <w:marLeft w:val="0"/>
      <w:marRight w:val="0"/>
      <w:marTop w:val="0"/>
      <w:marBottom w:val="0"/>
      <w:divBdr>
        <w:top w:val="none" w:sz="0" w:space="0" w:color="auto"/>
        <w:left w:val="none" w:sz="0" w:space="0" w:color="auto"/>
        <w:bottom w:val="none" w:sz="0" w:space="0" w:color="auto"/>
        <w:right w:val="none" w:sz="0" w:space="0" w:color="auto"/>
      </w:divBdr>
    </w:div>
    <w:div w:id="366219402">
      <w:bodyDiv w:val="1"/>
      <w:marLeft w:val="0"/>
      <w:marRight w:val="0"/>
      <w:marTop w:val="0"/>
      <w:marBottom w:val="0"/>
      <w:divBdr>
        <w:top w:val="none" w:sz="0" w:space="0" w:color="auto"/>
        <w:left w:val="none" w:sz="0" w:space="0" w:color="auto"/>
        <w:bottom w:val="none" w:sz="0" w:space="0" w:color="auto"/>
        <w:right w:val="none" w:sz="0" w:space="0" w:color="auto"/>
      </w:divBdr>
    </w:div>
    <w:div w:id="452753474">
      <w:bodyDiv w:val="1"/>
      <w:marLeft w:val="0"/>
      <w:marRight w:val="0"/>
      <w:marTop w:val="0"/>
      <w:marBottom w:val="0"/>
      <w:divBdr>
        <w:top w:val="none" w:sz="0" w:space="0" w:color="auto"/>
        <w:left w:val="none" w:sz="0" w:space="0" w:color="auto"/>
        <w:bottom w:val="none" w:sz="0" w:space="0" w:color="auto"/>
        <w:right w:val="none" w:sz="0" w:space="0" w:color="auto"/>
      </w:divBdr>
    </w:div>
    <w:div w:id="685719397">
      <w:bodyDiv w:val="1"/>
      <w:marLeft w:val="0"/>
      <w:marRight w:val="0"/>
      <w:marTop w:val="0"/>
      <w:marBottom w:val="0"/>
      <w:divBdr>
        <w:top w:val="none" w:sz="0" w:space="0" w:color="auto"/>
        <w:left w:val="none" w:sz="0" w:space="0" w:color="auto"/>
        <w:bottom w:val="none" w:sz="0" w:space="0" w:color="auto"/>
        <w:right w:val="none" w:sz="0" w:space="0" w:color="auto"/>
      </w:divBdr>
    </w:div>
    <w:div w:id="686752515">
      <w:bodyDiv w:val="1"/>
      <w:marLeft w:val="0"/>
      <w:marRight w:val="0"/>
      <w:marTop w:val="0"/>
      <w:marBottom w:val="0"/>
      <w:divBdr>
        <w:top w:val="none" w:sz="0" w:space="0" w:color="auto"/>
        <w:left w:val="none" w:sz="0" w:space="0" w:color="auto"/>
        <w:bottom w:val="none" w:sz="0" w:space="0" w:color="auto"/>
        <w:right w:val="none" w:sz="0" w:space="0" w:color="auto"/>
      </w:divBdr>
    </w:div>
    <w:div w:id="721949084">
      <w:bodyDiv w:val="1"/>
      <w:marLeft w:val="0"/>
      <w:marRight w:val="0"/>
      <w:marTop w:val="0"/>
      <w:marBottom w:val="0"/>
      <w:divBdr>
        <w:top w:val="none" w:sz="0" w:space="0" w:color="auto"/>
        <w:left w:val="none" w:sz="0" w:space="0" w:color="auto"/>
        <w:bottom w:val="none" w:sz="0" w:space="0" w:color="auto"/>
        <w:right w:val="none" w:sz="0" w:space="0" w:color="auto"/>
      </w:divBdr>
    </w:div>
    <w:div w:id="802502220">
      <w:bodyDiv w:val="1"/>
      <w:marLeft w:val="0"/>
      <w:marRight w:val="0"/>
      <w:marTop w:val="0"/>
      <w:marBottom w:val="0"/>
      <w:divBdr>
        <w:top w:val="none" w:sz="0" w:space="0" w:color="auto"/>
        <w:left w:val="none" w:sz="0" w:space="0" w:color="auto"/>
        <w:bottom w:val="none" w:sz="0" w:space="0" w:color="auto"/>
        <w:right w:val="none" w:sz="0" w:space="0" w:color="auto"/>
      </w:divBdr>
    </w:div>
    <w:div w:id="1108819883">
      <w:bodyDiv w:val="1"/>
      <w:marLeft w:val="0"/>
      <w:marRight w:val="0"/>
      <w:marTop w:val="0"/>
      <w:marBottom w:val="0"/>
      <w:divBdr>
        <w:top w:val="none" w:sz="0" w:space="0" w:color="auto"/>
        <w:left w:val="none" w:sz="0" w:space="0" w:color="auto"/>
        <w:bottom w:val="none" w:sz="0" w:space="0" w:color="auto"/>
        <w:right w:val="none" w:sz="0" w:space="0" w:color="auto"/>
      </w:divBdr>
    </w:div>
    <w:div w:id="1504510589">
      <w:bodyDiv w:val="1"/>
      <w:marLeft w:val="0"/>
      <w:marRight w:val="0"/>
      <w:marTop w:val="0"/>
      <w:marBottom w:val="0"/>
      <w:divBdr>
        <w:top w:val="none" w:sz="0" w:space="0" w:color="auto"/>
        <w:left w:val="none" w:sz="0" w:space="0" w:color="auto"/>
        <w:bottom w:val="none" w:sz="0" w:space="0" w:color="auto"/>
        <w:right w:val="none" w:sz="0" w:space="0" w:color="auto"/>
      </w:divBdr>
    </w:div>
    <w:div w:id="1729454079">
      <w:bodyDiv w:val="1"/>
      <w:marLeft w:val="0"/>
      <w:marRight w:val="0"/>
      <w:marTop w:val="0"/>
      <w:marBottom w:val="0"/>
      <w:divBdr>
        <w:top w:val="none" w:sz="0" w:space="0" w:color="auto"/>
        <w:left w:val="none" w:sz="0" w:space="0" w:color="auto"/>
        <w:bottom w:val="none" w:sz="0" w:space="0" w:color="auto"/>
        <w:right w:val="none" w:sz="0" w:space="0" w:color="auto"/>
      </w:divBdr>
    </w:div>
    <w:div w:id="2048793403">
      <w:bodyDiv w:val="1"/>
      <w:marLeft w:val="0"/>
      <w:marRight w:val="0"/>
      <w:marTop w:val="0"/>
      <w:marBottom w:val="0"/>
      <w:divBdr>
        <w:top w:val="none" w:sz="0" w:space="0" w:color="auto"/>
        <w:left w:val="none" w:sz="0" w:space="0" w:color="auto"/>
        <w:bottom w:val="none" w:sz="0" w:space="0" w:color="auto"/>
        <w:right w:val="none" w:sz="0" w:space="0" w:color="auto"/>
      </w:divBdr>
    </w:div>
    <w:div w:id="2061244484">
      <w:bodyDiv w:val="1"/>
      <w:marLeft w:val="0"/>
      <w:marRight w:val="0"/>
      <w:marTop w:val="0"/>
      <w:marBottom w:val="0"/>
      <w:divBdr>
        <w:top w:val="none" w:sz="0" w:space="0" w:color="auto"/>
        <w:left w:val="none" w:sz="0" w:space="0" w:color="auto"/>
        <w:bottom w:val="none" w:sz="0" w:space="0" w:color="auto"/>
        <w:right w:val="none" w:sz="0" w:space="0" w:color="auto"/>
      </w:divBdr>
    </w:div>
    <w:div w:id="2136365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964a9ba37f044df923b628ff88a74f5" PartId="7620434a291a4951b2bba1d3ba5ef6b5">
    <Part Type="preambule" DocPartId="172685eaa7354b319b2ace4498adec0c" PartId="e487773b98bf499f9dabf84a8b1a3df2"/>
    <Part Type="pastraipa" DocPartId="75209b696e5e44dfb15ed06313298f30" PartId="ef7cca351cc243ad8fb8a3505efe815a"/>
    <Part Type="punktas" Nr="1" Abbr="1 p." DocPartId="6fd13fcca52a4a129c32bc6ddcb5bcae" PartId="c7936bb911f248a092bb1fd6298e76bc">
      <Part Type="citata" DocPartId="564b10686ea949a2bdbc311fdfbf74eb" PartId="a999aa53d2fe44c29ff0ba73ed02a3dd">
        <Part Type="punktas" Nr="96" Abbr="96 p." DocPartId="b3fef11ad7794ecdbde6dcd8b0ef665a" PartId="20a56172fac244608240d08b719cc0bc"/>
      </Part>
    </Part>
    <Part Type="punktas" Nr="2" Abbr="2 p." DocPartId="daf1e90db9a9457d92e7981a22f95ffa" PartId="258cb10fed4d4cea8752f97c06461058">
      <Part Type="citata" DocPartId="31aecca768b3450ea1d17672e20c5897" PartId="d3c489899eec43738039072fd25392d1">
        <Part Type="punktas" Nr="97" Abbr="97 p." DocPartId="0ee8c4a69a3e463bb1a95e62958ea804" PartId="abc7d28fbbaa45c983acbd0c98097ddf">
          <Part Type="papunktis" Nr="97.1" Abbr="97.1 pp." DocPartId="cc0b33ab0d854fb09bd1089c73b2d62d" PartId="c37b3012ccb240b383ef17e4618e73e7"/>
          <Part Type="papunktis" Nr="97.2" Abbr="97.2 pp." DocPartId="cbf6a56941144bb5a075795613c5dcd6" PartId="97b13a093ea5493591c00b5d07f64db1"/>
          <Part Type="papunktis" Nr="97.3" Abbr="97.3 pp." DocPartId="b6a6797678b94eb28fa366095e32e91e" PartId="887b5c3166bd450ead9cccba46de7531"/>
          <Part Type="papunktis" Nr="97.4" Abbr="97.4 pp." DocPartId="d0b268c261224059b34afa53ecc58861" PartId="d7bd959130d3409b88e2bdd41738a9e1"/>
        </Part>
      </Part>
    </Part>
    <Part Type="punktas" Nr="3" Abbr="3 p." DocPartId="948e9273f50a40be8e2d00df1e768bc6" PartId="b754c5621f384619856b2dc021131ad2">
      <Part Type="citata" DocPartId="64e0c5d9f4fa41839dd42974be8e1aad" PartId="a28276cfc980479cb6f2dc907dd038d5">
        <Part Type="punktas" Nr="98" Abbr="98 p." DocPartId="7b6986fe7e7d4952a9ad38e0846711aa" PartId="242d77675b31418ba25df571a798b96d"/>
      </Part>
    </Part>
    <Part Type="punktas" Nr="4" Abbr="4 p." DocPartId="185aade063be4e93ba8884871be929ba" PartId="4011357a458140c9bc00fb5f0e8333c4"/>
    <Part Type="punktas" Nr="5" Abbr="5 p." DocPartId="5172eb524cb64373a789693f770e0c25" PartId="50a0d7ad8e1746f6b473b5253271bd96">
      <Part Type="citata" DocPartId="79d2c595c19c46378137dc1f627015d6" PartId="b278470f68d0428ba0ca336f9f530946">
        <Part Type="punktas" Nr="100" Abbr="100 p." DocPartId="2e178ac01ed64c26bd1d010a07b8838b" PartId="dc1d0418b359471e9adfd849a585dafa"/>
      </Part>
    </Part>
    <Part Type="punktas" Nr="6" Abbr="6 p." DocPartId="3868c26e07af4919b8ecf31b58935020" PartId="653f0af1525b46a295060275fcf39e17">
      <Part Type="citata" DocPartId="1e61c3329ea64886aca224ff291a5986" PartId="5bfccd9504994c85a912fd17c169c582">
        <Part Type="punktas" Nr="102-1" Abbr="102-1 p." DocPartId="1d5edebeeb7c4573b7bb94e9a459eafc" PartId="677a7b3db0474a1a9e842ee98b003f97"/>
      </Part>
    </Part>
    <Part Type="punktas" Nr="7" Abbr="7 p." DocPartId="1b792dafcb5742cbb030c75961310bd0" PartId="93e57621fde14524b2955e9ada11d9e2">
      <Part Type="citata" DocPartId="d098ff78be584890a56758fb7c7a0333" PartId="3fcac5fd3fd540bd8fc6e6701258f57a">
        <Part Type="punktas" Nr="111" Abbr="111 p." DocPartId="420efee638ff444c81a94c7644cbe31d" PartId="e4e55f368ed14ea4b3b619b231de6fee"/>
      </Part>
    </Part>
    <Part Type="punktas" Nr="8" Abbr="8 p." DocPartId="f7800e1c4a6b458eae7d92864f315450" PartId="37964abe44b84d9d8354d25bfc10579c">
      <Part Type="citata" DocPartId="dfbd9118ec694a1a95283d3d53febdd4" PartId="1c456fec1b9745fea86d93f91b40bd11">
        <Part Type="punktas" Nr="115-1" Abbr="115-1 p." DocPartId="620cb0b3c4bb4464b973c6830fd9b17b" PartId="fcb353a3eead4b7e9d3625dd15d4078d"/>
      </Part>
    </Part>
    <Part Type="punktas" Nr="9" Abbr="9 p." DocPartId="d89389ad61b74c64af7a5a2348ae0182" PartId="8513327cc30840038c887d2830a2fdda"/>
    <Part Type="punktas" Nr="10" Abbr="10 p." DocPartId="8c3aec758f094aa18d59293a6bde6df4" PartId="16bd07ffbef24aabba522c0b69356cf8">
      <Part Type="citata" DocPartId="e42546bf7c7347bc9a6a1d6863a5527c" PartId="61646b353489417da00089c7315c7989">
        <Part Type="punktas" Nr="124" Abbr="124 p." DocPartId="50fa98993d8f4294bcd01ab3a2101543" PartId="3718ec5c1d214785bcd1b4e5a0b5a5bb"/>
      </Part>
    </Part>
    <Part Type="signatura" DocPartId="72e988eca29c43648c0356b714461daf" PartId="747b1a5e250e45e29e6e1b99756898c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0F4D2C-B1AC-43AB-83B7-77A174271AEF}">
  <ds:schemaRefs>
    <ds:schemaRef ds:uri="http://lrs.lt/TAIS/DocParts"/>
  </ds:schemaRefs>
</ds:datastoreItem>
</file>

<file path=customXml/itemProps2.xml><?xml version="1.0" encoding="utf-8"?>
<ds:datastoreItem xmlns:ds="http://schemas.openxmlformats.org/officeDocument/2006/customXml" ds:itemID="{2FA0A354-DA88-44C6-A723-937AF1965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9145</Words>
  <Characters>5213</Characters>
  <Application>Microsoft Office Word</Application>
  <DocSecurity>0</DocSecurity>
  <Lines>43</Lines>
  <Paragraphs>28</Paragraphs>
  <ScaleCrop>false</ScaleCrop>
  <HeadingPairs>
    <vt:vector size="2" baseType="variant">
      <vt:variant>
        <vt:lpstr>Title</vt:lpstr>
      </vt:variant>
      <vt:variant>
        <vt:i4>1</vt:i4>
      </vt:variant>
    </vt:vector>
  </HeadingPairs>
  <TitlesOfParts>
    <vt:vector size="1" baseType="lpstr">
      <vt:lpstr>VALSTYBINĖS KAINŲ IR ENERGETIKOS KONTROLĖS KOMISIJOS</vt:lpstr>
    </vt:vector>
  </TitlesOfParts>
  <Company>Teisines informacijos centras</Company>
  <LinksUpToDate>false</LinksUpToDate>
  <CharactersWithSpaces>14330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KAINŲ IR ENERGETIKOS KONTROLĖS KOMISIJOS</dc:title>
  <dc:creator>Sandra</dc:creator>
  <cp:lastModifiedBy>JUOSPONIENĖ Karolina</cp:lastModifiedBy>
  <cp:revision>3</cp:revision>
  <dcterms:created xsi:type="dcterms:W3CDTF">2022-05-26T13:55:00Z</dcterms:created>
  <dcterms:modified xsi:type="dcterms:W3CDTF">2022-05-26T14:26:00Z</dcterms:modified>
</cp:coreProperties>
</file>