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ffd9789b2192435d9042dbe2758bbb73"/>
        <w:lock w:val="sdtLocked"/>
        <w:richText/>
      </w:sdtPr>
      <w:sdtContent>
        <w:p>
          <w:pPr>
            <w:tabs>
              <w:tab w:val="center" w:pos="4153"/>
              <w:tab w:val="right" w:pos="8306"/>
            </w:tabs>
            <w:rPr>
              <w:lang w:eastAsia="lt-LT"/>
            </w:rPr>
          </w:pPr>
        </w:p>
        <w:p>
          <w:pPr>
            <w:tabs>
              <w:tab w:val="center" w:pos="4153"/>
              <w:tab w:val="right" w:pos="8306"/>
            </w:tabs>
            <w:jc w:val="center"/>
            <w:rPr>
              <w:b/>
              <w:lang w:eastAsia="lt-LT"/>
            </w:rPr>
          </w:pPr>
          <w:r>
            <w:rPr>
              <w:lang w:val="en-US"/>
            </w:rPr>
            <w:drawing>
              <wp:inline distT="0" distB="0" distL="0" distR="0" wp14:anchorId="7C79652F" wp14:editId="582BBE60">
                <wp:extent cx="594995" cy="626745"/>
                <wp:effectExtent l="0" t="0" r="0" b="1905"/>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594995" cy="626745"/>
                        </a:xfrm>
                        <a:prstGeom prst="rect">
                          <a:avLst/>
                        </a:prstGeom>
                        <a:noFill/>
                        <a:ln>
                          <a:noFill/>
                        </a:ln>
                      </pic:spPr>
                    </pic:pic>
                  </a:graphicData>
                </a:graphic>
              </wp:inline>
            </w:drawing>
          </w:r>
        </w:p>
        <w:p>
          <w:pPr>
            <w:jc w:val="center"/>
            <w:rPr>
              <w:b/>
              <w:lang w:eastAsia="lt-LT"/>
            </w:rPr>
          </w:pPr>
          <w:r>
            <w:rPr>
              <w:b/>
              <w:lang w:eastAsia="lt-LT"/>
            </w:rPr>
            <w:t>LIETUVOS RESPUBLIKOS FINANSŲ MINISTRAS</w:t>
          </w:r>
        </w:p>
        <w:p>
          <w:pPr>
            <w:jc w:val="center"/>
            <w:rPr>
              <w:b/>
              <w:lang w:eastAsia="lt-LT"/>
            </w:rPr>
          </w:pPr>
        </w:p>
        <w:p>
          <w:pPr>
            <w:jc w:val="center"/>
            <w:rPr>
              <w:b/>
              <w:lang w:eastAsia="lt-LT"/>
            </w:rPr>
          </w:pPr>
          <w:r>
            <w:rPr>
              <w:b/>
              <w:lang w:eastAsia="lt-LT"/>
            </w:rPr>
            <w:t>ĮSAKYMAS</w:t>
          </w:r>
        </w:p>
        <w:p>
          <w:pPr>
            <w:jc w:val="center"/>
            <w:rPr>
              <w:lang w:eastAsia="lt-LT"/>
            </w:rPr>
          </w:pPr>
          <w:r>
            <w:rPr>
              <w:b/>
              <w:lang w:eastAsia="lt-LT"/>
            </w:rPr>
            <w:t xml:space="preserve">DĖL </w:t>
          </w:r>
          <w:r>
            <w:rPr>
              <w:b/>
              <w:szCs w:val="24"/>
              <w:lang w:eastAsia="lt-LT"/>
            </w:rPr>
            <w:t xml:space="preserve">FINANSŲ MINISTRO 2023 M. GEGUŽĖS 8 D. ĮSAKYMO NR. 1K-180 „DĖL </w:t>
          </w:r>
          <w:r>
            <w:rPr>
              <w:b/>
              <w:lang w:eastAsia="lt-LT"/>
            </w:rPr>
            <w:t>LIETUVOS RESPUBLIKOS VALSTYBĖS IŽDO ĮSTATYMO ĮGYVENDINIMO“ PAKEITIMO</w:t>
          </w:r>
        </w:p>
        <w:p>
          <w:pPr>
            <w:jc w:val="center"/>
            <w:rPr>
              <w:lang w:eastAsia="lt-LT"/>
            </w:rPr>
          </w:pPr>
        </w:p>
        <w:p>
          <w:pPr>
            <w:jc w:val="center"/>
            <w:rPr>
              <w:lang w:eastAsia="lt-LT"/>
            </w:rPr>
          </w:pPr>
          <w:r>
            <w:rPr>
              <w:lang w:eastAsia="lt-LT"/>
            </w:rPr>
            <w:t>2023 m. rugsėjo 29 d. Nr. 1K-337</w:t>
          </w:r>
        </w:p>
        <w:p>
          <w:pPr>
            <w:jc w:val="center"/>
            <w:rPr>
              <w:lang w:eastAsia="lt-LT"/>
            </w:rPr>
          </w:pPr>
          <w:r>
            <w:rPr>
              <w:lang w:eastAsia="lt-LT"/>
            </w:rPr>
            <w:t>Vilnius</w:t>
          </w:r>
        </w:p>
        <w:p>
          <w:pPr>
            <w:jc w:val="center"/>
            <w:rPr>
              <w:lang w:eastAsia="lt-LT"/>
            </w:rPr>
          </w:pPr>
        </w:p>
        <w:sdt>
          <w:sdtPr>
            <w:alias w:val="1 p."/>
            <w:tag w:val="part_99a7fb587793486ebdbb227a401647e9"/>
            <w:lock w:val="sdtLocked"/>
            <w:richText/>
          </w:sdtPr>
          <w:sdtContent>
            <w:p>
              <w:pPr>
                <w:tabs>
                  <w:tab w:val="left" w:pos="709"/>
                </w:tabs>
                <w:spacing w:line="276" w:lineRule="auto"/>
                <w:ind w:firstLine="709"/>
                <w:jc w:val="both"/>
                <w:rPr>
                  <w:szCs w:val="24"/>
                  <w:lang w:eastAsia="lt-LT"/>
                </w:rPr>
              </w:pPr>
              <w:sdt>
                <w:sdtPr>
                  <w:alias w:val="Numeris"/>
                  <w:tag w:val="nr_99a7fb587793486ebdbb227a401647e9"/>
                  <w:lock w:val="sdtLocked"/>
                  <w:richText/>
                </w:sdtPr>
                <w:sdtContent>
                  <w:r>
                    <w:rPr>
                      <w:szCs w:val="24"/>
                      <w:lang w:eastAsia="lt-LT"/>
                    </w:rPr>
                    <w:t>1</w:t>
                  </w:r>
                </w:sdtContent>
              </w:sdt>
              <w:r>
                <w:rPr>
                  <w:szCs w:val="24"/>
                  <w:lang w:eastAsia="lt-LT"/>
                </w:rPr>
                <w:t xml:space="preserve">. P a k e i č i u </w:t>
              </w:r>
              <w:r>
                <w:rPr>
                  <w:bCs/>
                  <w:szCs w:val="24"/>
                  <w:lang w:eastAsia="en-GB"/>
                </w:rPr>
                <w:t>Valstybės biudžetui priskirtų lėšų pervedimo į valstybės iždą taisykles, patvirtintas</w:t>
              </w:r>
              <w:r>
                <w:rPr>
                  <w:szCs w:val="24"/>
                  <w:lang w:eastAsia="lt-LT"/>
                </w:rPr>
                <w:t xml:space="preserve"> Lietuvos Respublikos finansų ministro 2023 m. gegužės 8 d. įsakymu Nr. 1K-180 „Dėl Lietuvos Respublikos valstybės iždo įstatymo įgyvendinimo“:</w:t>
              </w:r>
            </w:p>
            <w:sdt>
              <w:sdtPr>
                <w:alias w:val="1.1 pp."/>
                <w:tag w:val="part_0b945ecf21294f229b4f8cb3d3d7b8ad"/>
                <w:lock w:val="sdtLocked"/>
                <w:richText/>
              </w:sdtPr>
              <w:sdtContent>
                <w:p>
                  <w:pPr>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left="1069" w:hanging="360"/>
                    <w:jc w:val="both"/>
                    <w:rPr>
                      <w:szCs w:val="24"/>
                      <w:lang w:eastAsia="lt-LT"/>
                    </w:rPr>
                  </w:pPr>
                  <w:sdt>
                    <w:sdtPr>
                      <w:alias w:val="Numeris"/>
                      <w:tag w:val="nr_0b945ecf21294f229b4f8cb3d3d7b8ad"/>
                      <w:lock w:val="sdtLocked"/>
                      <w:richText/>
                    </w:sdtPr>
                    <w:sdtContent>
                      <w:r>
                        <w:rPr>
                          <w:szCs w:val="24"/>
                          <w:lang w:eastAsia="lt-LT"/>
                        </w:rPr>
                        <w:t>1.1</w:t>
                      </w:r>
                    </w:sdtContent>
                  </w:sdt>
                  <w:r>
                    <w:rPr>
                      <w:szCs w:val="24"/>
                      <w:lang w:eastAsia="lt-LT"/>
                    </w:rPr>
                    <w:t>. Pakeičiu 4 punktą ir jį išdėstau taip:</w:t>
                  </w:r>
                </w:p>
                <w:sdt>
                  <w:sdtPr>
                    <w:alias w:val="citata"/>
                    <w:tag w:val="part_5dd82cb1adef4f88b9657fddf3858175"/>
                    <w:lock w:val="sdtLocked"/>
                    <w:richText/>
                  </w:sdtPr>
                  <w:sdtContent>
                    <w:sdt>
                      <w:sdtPr>
                        <w:alias w:val="4 p."/>
                        <w:tag w:val="part_22b91da2fa9447749b8c33dd0144f6b9"/>
                        <w:lock w:val="sdtLocked"/>
                        <w:richText/>
                      </w:sdtPr>
                      <w:sdtContent>
                        <w:p>
                          <w:pPr>
                            <w:tabs>
                              <w:tab w:val="left" w:pos="851"/>
                              <w:tab w:val="left" w:pos="1134"/>
                            </w:tabs>
                            <w:spacing w:line="276" w:lineRule="auto"/>
                            <w:ind w:firstLine="709"/>
                            <w:jc w:val="both"/>
                            <w:rPr>
                              <w:szCs w:val="24"/>
                              <w:lang w:eastAsia="lt-LT"/>
                            </w:rPr>
                          </w:pPr>
                          <w:r>
                            <w:rPr>
                              <w:szCs w:val="24"/>
                              <w:lang w:eastAsia="lt-LT"/>
                            </w:rPr>
                            <w:t>„</w:t>
                          </w:r>
                          <w:sdt>
                            <w:sdtPr>
                              <w:alias w:val="Numeris"/>
                              <w:tag w:val="nr_22b91da2fa9447749b8c33dd0144f6b9"/>
                              <w:lock w:val="sdtLocked"/>
                              <w:richText/>
                            </w:sdtPr>
                            <w:sdtContent>
                              <w:r>
                                <w:rPr>
                                  <w:szCs w:val="24"/>
                                  <w:lang w:eastAsia="lt-LT"/>
                                </w:rPr>
                                <w:t>4</w:t>
                              </w:r>
                            </w:sdtContent>
                          </w:sdt>
                          <w:r>
                            <w:rPr>
                              <w:szCs w:val="24"/>
                              <w:lang w:eastAsia="lt-LT"/>
                            </w:rPr>
                            <w:t>. Per vieną darbo dieną į Valstybinės mokesčių inspekcijos ir Muitinės departamento tvarkomas sąskaitas surinktos įmokos, grąžinus mokėtojams permokas ar kitas grąžintinas sumas, kitą darbo dieną pervedamos į valstybės iždo pagrindinę sąskaitą Nr. LT784040063650000001 (eurais), nurodant įmokų kodus pagal Taisyklių priede pateiktą Valstybės biudžetui priskirtų lėšų pervedimo į valstybės iždą įmokų kodų sąrašą (toliau – įmokų kodų sąrašas).“</w:t>
                          </w:r>
                        </w:p>
                      </w:sdtContent>
                    </w:sdt>
                  </w:sdtContent>
                </w:sdt>
              </w:sdtContent>
            </w:sdt>
            <w:sdt>
              <w:sdtPr>
                <w:alias w:val="1.2 pp."/>
                <w:tag w:val="part_eb70738a7e2345efae5c7ba6205a7050"/>
                <w:lock w:val="sdtLocked"/>
                <w:richText/>
              </w:sdtPr>
              <w:sdtContent>
                <w:p>
                  <w:pPr>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szCs w:val="24"/>
                      <w:lang w:eastAsia="lt-LT"/>
                    </w:rPr>
                  </w:pPr>
                  <w:sdt>
                    <w:sdtPr>
                      <w:alias w:val="Numeris"/>
                      <w:tag w:val="nr_eb70738a7e2345efae5c7ba6205a7050"/>
                      <w:lock w:val="sdtLocked"/>
                      <w:richText/>
                    </w:sdtPr>
                    <w:sdtContent>
                      <w:r>
                        <w:rPr>
                          <w:szCs w:val="24"/>
                          <w:lang w:eastAsia="lt-LT"/>
                        </w:rPr>
                        <w:t>1.2</w:t>
                      </w:r>
                    </w:sdtContent>
                  </w:sdt>
                  <w:r>
                    <w:rPr>
                      <w:szCs w:val="24"/>
                      <w:lang w:eastAsia="lt-LT"/>
                    </w:rPr>
                    <w:t>. Pakeičiu 6 punktą ir jį išdėstau taip:</w:t>
                  </w:r>
                </w:p>
                <w:sdt>
                  <w:sdtPr>
                    <w:alias w:val="citata"/>
                    <w:tag w:val="part_d4cb0ae73ef64cca824f977f062fce21"/>
                    <w:lock w:val="sdtLocked"/>
                    <w:richText/>
                  </w:sdtPr>
                  <w:sdtContent>
                    <w:sdt>
                      <w:sdtPr>
                        <w:alias w:val="6 p."/>
                        <w:tag w:val="part_2b613ba586784f329afa1262764138fd"/>
                        <w:lock w:val="sdtLocked"/>
                        <w:richText/>
                      </w:sdtPr>
                      <w:sdtContent>
                        <w:p>
                          <w:pPr>
                            <w:tabs>
                              <w:tab w:val="left" w:pos="851"/>
                              <w:tab w:val="left" w:pos="1134"/>
                            </w:tabs>
                            <w:spacing w:line="276" w:lineRule="auto"/>
                            <w:ind w:firstLine="709"/>
                            <w:jc w:val="both"/>
                            <w:rPr>
                              <w:color w:val="000000"/>
                              <w:lang w:eastAsia="lt-LT"/>
                            </w:rPr>
                          </w:pPr>
                          <w:r>
                            <w:rPr>
                              <w:szCs w:val="24"/>
                              <w:lang w:eastAsia="lt-LT"/>
                            </w:rPr>
                            <w:t>„</w:t>
                          </w:r>
                          <w:sdt>
                            <w:sdtPr>
                              <w:alias w:val="Numeris"/>
                              <w:tag w:val="nr_2b613ba586784f329afa1262764138fd"/>
                              <w:lock w:val="sdtLocked"/>
                              <w:richText/>
                            </w:sdtPr>
                            <w:sdtContent>
                              <w:r>
                                <w:rPr>
                                  <w:color w:val="000000"/>
                                  <w:lang w:eastAsia="lt-LT"/>
                                </w:rPr>
                                <w:t>6</w:t>
                              </w:r>
                            </w:sdtContent>
                          </w:sdt>
                          <w:r>
                            <w:rPr>
                              <w:color w:val="000000"/>
                              <w:lang w:eastAsia="lt-LT"/>
                            </w:rPr>
                            <w:t>. Pagal Bešeimininkio, konfiskuoto, valstybės paveldėto, valstybei perduoto turto, daiktinių įrodymų, lobių ir radinių perdavimo, apskaitymo, saugojimo, realizavimo, grąžinimo ir pripažinimo atliekomis taisykles, patvirtintas Lietuvos Respublikos Vyriausybės 2004 m. gegužės 26 d. nutarimu Nr. 634 „Dėl Bešeimininkio, konfiskuoto, valstybės paveldėto, valstybei perduoto turto, daiktinių įrodymų, lobių ir radinių perdavimo, apskaitymo, saugojimo, realizavimo, grąžinimo ir pripažinimo atliekomis taisyklių patvirtinimo“, perimtas turtas – lėšos užsienio valiuta (toliau – perimtos lėšos) – ne vėliau kaip kitą darbo dieną po to, kai jos perimamos, pervedamos į valstybės iždą tokia tvarka:</w:t>
                          </w:r>
                        </w:p>
                        <w:sdt>
                          <w:sdtPr>
                            <w:alias w:val="6.1 pp."/>
                            <w:tag w:val="part_93b7b01fd1994a27b34ac12fce90f003"/>
                            <w:lock w:val="sdtLocked"/>
                            <w:richText/>
                          </w:sdtPr>
                          <w:sdtContent>
                            <w:p>
                              <w:pPr>
                                <w:tabs>
                                  <w:tab w:val="left" w:pos="851"/>
                                  <w:tab w:val="left" w:pos="1134"/>
                                </w:tabs>
                                <w:spacing w:line="276" w:lineRule="auto"/>
                                <w:ind w:firstLine="709"/>
                                <w:jc w:val="both"/>
                                <w:rPr>
                                  <w:szCs w:val="24"/>
                                  <w:lang w:eastAsia="lt-LT"/>
                                </w:rPr>
                              </w:pPr>
                              <w:sdt>
                                <w:sdtPr>
                                  <w:alias w:val="Numeris"/>
                                  <w:tag w:val="nr_93b7b01fd1994a27b34ac12fce90f003"/>
                                  <w:lock w:val="sdtLocked"/>
                                  <w:richText/>
                                </w:sdtPr>
                                <w:sdtContent>
                                  <w:r>
                                    <w:rPr>
                                      <w:szCs w:val="24"/>
                                      <w:lang w:eastAsia="lt-LT"/>
                                    </w:rPr>
                                    <w:t>6.1</w:t>
                                  </w:r>
                                </w:sdtContent>
                              </w:sdt>
                              <w:r>
                                <w:rPr>
                                  <w:szCs w:val="24"/>
                                  <w:lang w:eastAsia="lt-LT"/>
                                </w:rPr>
                                <w:t xml:space="preserve"> Jei perimtos lėšos yra JAV doleriais, Šveicarijos frankais, Japonijos jenomis, Norvegijos kronomis, Didžiosios Britanijos svarais sterlingais, Švedijos kronomis, Danijos kronomis ir kiekvienos nurodytos valiutos suma viršija 1 000 vienetų, šios perimtos lėšos pervedamos į valstybės iždo pagrindinę</w:t>
                              </w:r>
                              <w:r>
                                <w:rPr>
                                  <w:b/>
                                  <w:szCs w:val="24"/>
                                  <w:lang w:eastAsia="lt-LT"/>
                                </w:rPr>
                                <w:t xml:space="preserve"> </w:t>
                              </w:r>
                              <w:r>
                                <w:rPr>
                                  <w:szCs w:val="24"/>
                                  <w:lang w:eastAsia="lt-LT"/>
                                </w:rPr>
                                <w:t>sąskaitą Nr. LT784040063650000001</w:t>
                              </w:r>
                              <w:r>
                                <w:rPr>
                                  <w:b/>
                                  <w:szCs w:val="24"/>
                                  <w:lang w:eastAsia="lt-LT"/>
                                </w:rPr>
                                <w:t xml:space="preserve"> </w:t>
                              </w:r>
                              <w:r>
                                <w:rPr>
                                  <w:szCs w:val="24"/>
                                  <w:lang w:eastAsia="lt-LT"/>
                                </w:rPr>
                                <w:t>ta užsienio valiuta, kuria buvo valstybės perimtos.</w:t>
                              </w:r>
                            </w:p>
                          </w:sdtContent>
                        </w:sdt>
                        <w:sdt>
                          <w:sdtPr>
                            <w:alias w:val="6.2 pp."/>
                            <w:tag w:val="part_6b56fead2fdb4fadbe137ffa11514df3"/>
                            <w:lock w:val="sdtLocked"/>
                            <w:richText/>
                          </w:sdtPr>
                          <w:sdtContent>
                            <w:p>
                              <w:pPr>
                                <w:tabs>
                                  <w:tab w:val="left" w:pos="851"/>
                                  <w:tab w:val="left" w:pos="1134"/>
                                </w:tabs>
                                <w:spacing w:line="276" w:lineRule="auto"/>
                                <w:ind w:firstLine="709"/>
                                <w:jc w:val="both"/>
                                <w:rPr>
                                  <w:szCs w:val="24"/>
                                  <w:lang w:eastAsia="lt-LT"/>
                                </w:rPr>
                              </w:pPr>
                              <w:sdt>
                                <w:sdtPr>
                                  <w:alias w:val="Numeris"/>
                                  <w:tag w:val="nr_6b56fead2fdb4fadbe137ffa11514df3"/>
                                  <w:lock w:val="sdtLocked"/>
                                  <w:richText/>
                                </w:sdtPr>
                                <w:sdtContent>
                                  <w:r>
                                    <w:rPr>
                                      <w:szCs w:val="24"/>
                                      <w:lang w:eastAsia="lt-LT"/>
                                    </w:rPr>
                                    <w:t>6.2</w:t>
                                  </w:r>
                                </w:sdtContent>
                              </w:sdt>
                              <w:r>
                                <w:rPr>
                                  <w:szCs w:val="24"/>
                                  <w:lang w:eastAsia="lt-LT"/>
                                </w:rPr>
                                <w:t>. Jei perimtos lėšos yra kita užsienio valiuta, nei nurodyta šio įsakymo 6.1 papunktyje, arba perimtų lėšų suma neviršija 1 000 vienetų, perimtos lėšos konvertuojamos į eurus pagal oficialų valiutos kursą, nustatytą užsienio valiutos perėmimo dieną, ir pervedamos į valstybės iždo pagrindinę</w:t>
                              </w:r>
                              <w:r>
                                <w:rPr>
                                  <w:b/>
                                  <w:szCs w:val="24"/>
                                  <w:lang w:eastAsia="lt-LT"/>
                                </w:rPr>
                                <w:t xml:space="preserve"> </w:t>
                              </w:r>
                              <w:r>
                                <w:rPr>
                                  <w:szCs w:val="24"/>
                                  <w:lang w:eastAsia="lt-LT"/>
                                </w:rPr>
                                <w:t>sąskaitą Nr. LT784040063650000001</w:t>
                              </w:r>
                              <w:r>
                                <w:rPr>
                                  <w:b/>
                                  <w:szCs w:val="24"/>
                                  <w:lang w:eastAsia="lt-LT"/>
                                </w:rPr>
                                <w:t xml:space="preserve"> </w:t>
                              </w:r>
                              <w:r>
                                <w:rPr>
                                  <w:szCs w:val="24"/>
                                  <w:lang w:eastAsia="lt-LT"/>
                                </w:rPr>
                                <w:t>eurais.“</w:t>
                              </w:r>
                            </w:p>
                          </w:sdtContent>
                        </w:sdt>
                      </w:sdtContent>
                    </w:sdt>
                  </w:sdtContent>
                </w:sdt>
              </w:sdtContent>
            </w:sdt>
            <w:sdt>
              <w:sdtPr>
                <w:alias w:val="1.3 pp."/>
                <w:tag w:val="part_110169045df9428db5779b9a12dd83d2"/>
                <w:lock w:val="sdtLocked"/>
                <w:richText/>
              </w:sdtPr>
              <w:sdtContent>
                <w:p>
                  <w:pPr>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left="709"/>
                    <w:jc w:val="both"/>
                    <w:rPr>
                      <w:szCs w:val="24"/>
                      <w:lang w:eastAsia="lt-LT"/>
                    </w:rPr>
                  </w:pPr>
                  <w:sdt>
                    <w:sdtPr>
                      <w:alias w:val="Numeris"/>
                      <w:tag w:val="nr_110169045df9428db5779b9a12dd83d2"/>
                      <w:lock w:val="sdtLocked"/>
                      <w:richText/>
                    </w:sdtPr>
                    <w:sdtContent>
                      <w:r>
                        <w:rPr>
                          <w:szCs w:val="24"/>
                          <w:lang w:eastAsia="lt-LT"/>
                        </w:rPr>
                        <w:t>1.3</w:t>
                      </w:r>
                    </w:sdtContent>
                  </w:sdt>
                  <w:r>
                    <w:rPr>
                      <w:szCs w:val="24"/>
                      <w:lang w:eastAsia="lt-LT"/>
                    </w:rPr>
                    <w:t>. Pakeičiu 8 punktą ir jį išdėstau taip:</w:t>
                  </w:r>
                </w:p>
                <w:sdt>
                  <w:sdtPr>
                    <w:alias w:val="citata"/>
                    <w:tag w:val="part_3ed90bac3e9347ac8373cd141e17bad5"/>
                    <w:lock w:val="sdtLocked"/>
                    <w:richText/>
                  </w:sdtPr>
                  <w:sdtContent>
                    <w:sdt>
                      <w:sdtPr>
                        <w:alias w:val="8 p."/>
                        <w:tag w:val="part_b65c2add9f4443119b9e6039cb9edd3e"/>
                        <w:lock w:val="sdtLocked"/>
                        <w:richText/>
                      </w:sdtPr>
                      <w:sdtContent>
                        <w:p>
                          <w:pPr>
                            <w:tabs>
                              <w:tab w:val="left" w:pos="851"/>
                              <w:tab w:val="left" w:pos="1134"/>
                            </w:tabs>
                            <w:spacing w:line="276" w:lineRule="auto"/>
                            <w:ind w:firstLine="709"/>
                            <w:jc w:val="both"/>
                            <w:rPr>
                              <w:szCs w:val="24"/>
                              <w:lang w:eastAsia="lt-LT"/>
                            </w:rPr>
                          </w:pPr>
                          <w:r>
                            <w:rPr>
                              <w:szCs w:val="24"/>
                              <w:lang w:eastAsia="lt-LT"/>
                            </w:rPr>
                            <w:t>„</w:t>
                          </w:r>
                          <w:sdt>
                            <w:sdtPr>
                              <w:alias w:val="Numeris"/>
                              <w:tag w:val="nr_b65c2add9f4443119b9e6039cb9edd3e"/>
                              <w:lock w:val="sdtLocked"/>
                              <w:richText/>
                            </w:sdtPr>
                            <w:sdtContent>
                              <w:r>
                                <w:rPr>
                                  <w:szCs w:val="24"/>
                                  <w:lang w:eastAsia="lt-LT"/>
                                </w:rPr>
                                <w:t>8</w:t>
                              </w:r>
                            </w:sdtContent>
                          </w:sdt>
                          <w:r>
                            <w:rPr>
                              <w:szCs w:val="24"/>
                              <w:lang w:eastAsia="lt-LT"/>
                            </w:rPr>
                            <w:t>. Biudžetiniams metams pasibaigus, visos praėjusiais biudžetiniais metais į Valstybinės mokesčių inspekcijos ir Muitinės departamento tvarkomas sąskaitas surinktos įmokos ne vėliau kaip per 3 darbo dienas pervedamos į valstybės iždo pagrindinę</w:t>
                          </w:r>
                          <w:r>
                            <w:rPr>
                              <w:b/>
                              <w:szCs w:val="24"/>
                              <w:lang w:eastAsia="lt-LT"/>
                            </w:rPr>
                            <w:t xml:space="preserve"> </w:t>
                          </w:r>
                          <w:r>
                            <w:rPr>
                              <w:szCs w:val="24"/>
                              <w:lang w:eastAsia="lt-LT"/>
                            </w:rPr>
                            <w:t>sąskaitą Nr. LT784040063650000001</w:t>
                          </w:r>
                          <w:r>
                            <w:rPr>
                              <w:b/>
                              <w:szCs w:val="24"/>
                              <w:lang w:eastAsia="lt-LT"/>
                            </w:rPr>
                            <w:t xml:space="preserve"> </w:t>
                          </w:r>
                          <w:r>
                            <w:rPr>
                              <w:szCs w:val="24"/>
                              <w:lang w:eastAsia="lt-LT"/>
                            </w:rPr>
                            <w:t>atskiru mokėjimo pavedimu, nurodant įmokos kodą pagal įmokų kodų sąrašą.“</w:t>
                          </w:r>
                        </w:p>
                      </w:sdtContent>
                    </w:sdt>
                  </w:sdtContent>
                </w:sdt>
              </w:sdtContent>
            </w:sdt>
            <w:sdt>
              <w:sdtPr>
                <w:alias w:val="1.4 pp."/>
                <w:tag w:val="part_bd0125a340604c3f90eeab9c8eafba87"/>
                <w:lock w:val="sdtLocked"/>
                <w:richText/>
              </w:sdtPr>
              <w:sdtContent>
                <w:p>
                  <w:pPr>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left="1069" w:hanging="360"/>
                    <w:jc w:val="both"/>
                    <w:rPr>
                      <w:szCs w:val="24"/>
                      <w:lang w:eastAsia="lt-LT"/>
                    </w:rPr>
                  </w:pPr>
                  <w:sdt>
                    <w:sdtPr>
                      <w:alias w:val="Numeris"/>
                      <w:tag w:val="nr_bd0125a340604c3f90eeab9c8eafba87"/>
                      <w:lock w:val="sdtLocked"/>
                      <w:richText/>
                    </w:sdtPr>
                    <w:sdtContent>
                      <w:r>
                        <w:rPr>
                          <w:szCs w:val="24"/>
                          <w:lang w:eastAsia="lt-LT"/>
                        </w:rPr>
                        <w:t>1.4</w:t>
                      </w:r>
                    </w:sdtContent>
                  </w:sdt>
                  <w:r>
                    <w:rPr>
                      <w:szCs w:val="24"/>
                      <w:lang w:eastAsia="lt-LT"/>
                    </w:rPr>
                    <w:t>.</w:t>
                    <w:tab/>
                    <w:t xml:space="preserve"> Pakeičiu 12 punktą ir jį išdėstau taip:</w:t>
                  </w:r>
                </w:p>
                <w:sdt>
                  <w:sdtPr>
                    <w:alias w:val="citata"/>
                    <w:tag w:val="part_6f4f8b39793d418e88448fae695a4975"/>
                    <w:lock w:val="sdtLocked"/>
                    <w:richText/>
                  </w:sdtPr>
                  <w:sdtContent>
                    <w:sdt>
                      <w:sdtPr>
                        <w:alias w:val="12 p."/>
                        <w:tag w:val="part_f3716dd8bc894f32837f1700a183389f"/>
                        <w:lock w:val="sdtLocked"/>
                        <w:richText/>
                      </w:sdtPr>
                      <w:sdtContent>
                        <w:p>
                          <w:pPr>
                            <w:tabs>
                              <w:tab w:val="left" w:pos="709"/>
                            </w:tabs>
                            <w:spacing w:line="276" w:lineRule="auto"/>
                            <w:ind w:firstLine="709"/>
                            <w:jc w:val="both"/>
                            <w:rPr>
                              <w:szCs w:val="24"/>
                              <w:lang w:eastAsia="lt-LT"/>
                            </w:rPr>
                          </w:pPr>
                          <w:r>
                            <w:rPr>
                              <w:szCs w:val="24"/>
                              <w:lang w:eastAsia="lt-LT"/>
                            </w:rPr>
                            <w:t>„</w:t>
                          </w:r>
                          <w:sdt>
                            <w:sdtPr>
                              <w:alias w:val="Numeris"/>
                              <w:tag w:val="nr_f3716dd8bc894f32837f1700a183389f"/>
                              <w:lock w:val="sdtLocked"/>
                              <w:richText/>
                            </w:sdtPr>
                            <w:sdtContent>
                              <w:r>
                                <w:rPr>
                                  <w:szCs w:val="24"/>
                                  <w:lang w:eastAsia="lt-LT"/>
                                </w:rPr>
                                <w:t>12</w:t>
                              </w:r>
                            </w:sdtContent>
                          </w:sdt>
                          <w:r>
                            <w:rPr>
                              <w:szCs w:val="24"/>
                              <w:lang w:eastAsia="lt-LT"/>
                            </w:rPr>
                            <w:t>. Valstybės biudžeto lėšas, įskaitant bendrojo finansavimo lėšas, mokėtojai perveda</w:t>
                          </w:r>
                          <w:r>
                            <w:rPr>
                              <w:color w:val="3366FF"/>
                              <w:szCs w:val="24"/>
                              <w:lang w:eastAsia="lt-LT"/>
                            </w:rPr>
                            <w:t xml:space="preserve"> </w:t>
                          </w:r>
                          <w:r>
                            <w:rPr>
                              <w:szCs w:val="24"/>
                              <w:lang w:eastAsia="lt-LT"/>
                            </w:rPr>
                            <w:t>į valstybės iždo pagrindinę sąskaitą Nr. LT784040063650000001 eurais arba užsienio valiuta.“</w:t>
                          </w:r>
                        </w:p>
                      </w:sdtContent>
                    </w:sdt>
                  </w:sdtContent>
                </w:sdt>
              </w:sdtContent>
            </w:sdt>
            <w:sdt>
              <w:sdtPr>
                <w:alias w:val="1.5 pp."/>
                <w:tag w:val="part_1f2a943af15249d4afbfdf0c6ea30ffd"/>
                <w:lock w:val="sdtLocked"/>
                <w:richText/>
              </w:sdtPr>
              <w:sdtContent>
                <w:p>
                  <w:pPr>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left="1069" w:hanging="360"/>
                    <w:jc w:val="both"/>
                    <w:rPr>
                      <w:szCs w:val="24"/>
                      <w:lang w:eastAsia="lt-LT"/>
                    </w:rPr>
                  </w:pPr>
                  <w:sdt>
                    <w:sdtPr>
                      <w:alias w:val="Numeris"/>
                      <w:tag w:val="nr_1f2a943af15249d4afbfdf0c6ea30ffd"/>
                      <w:lock w:val="sdtLocked"/>
                      <w:richText/>
                    </w:sdtPr>
                    <w:sdtContent>
                      <w:r>
                        <w:rPr>
                          <w:szCs w:val="24"/>
                          <w:lang w:eastAsia="lt-LT"/>
                        </w:rPr>
                        <w:t>1.5</w:t>
                      </w:r>
                    </w:sdtContent>
                  </w:sdt>
                  <w:r>
                    <w:rPr>
                      <w:szCs w:val="24"/>
                      <w:lang w:eastAsia="lt-LT"/>
                    </w:rPr>
                    <w:t>.</w:t>
                    <w:tab/>
                    <w:t xml:space="preserve"> Pakeičiu 21 punktą ir jį išdėstau taip:</w:t>
                  </w:r>
                </w:p>
                <w:sdt>
                  <w:sdtPr>
                    <w:alias w:val="citata"/>
                    <w:tag w:val="part_236a3894707f439295e199f8c91a5c11"/>
                    <w:lock w:val="sdtLocked"/>
                    <w:richText/>
                  </w:sdtPr>
                  <w:sdtContent>
                    <w:sdt>
                      <w:sdtPr>
                        <w:alias w:val="21 p."/>
                        <w:tag w:val="part_b3bf7e56879740378ff75dce389e6298"/>
                        <w:lock w:val="sdtLocked"/>
                        <w:richText/>
                      </w:sdtPr>
                      <w:sdtContent>
                        <w:p>
                          <w:pPr>
                            <w:tabs>
                              <w:tab w:val="left" w:pos="851"/>
                              <w:tab w:val="left" w:pos="1134"/>
                            </w:tabs>
                            <w:spacing w:line="276" w:lineRule="auto"/>
                            <w:ind w:firstLine="709"/>
                            <w:jc w:val="both"/>
                            <w:rPr>
                              <w:szCs w:val="24"/>
                              <w:lang w:eastAsia="lt-LT"/>
                            </w:rPr>
                          </w:pPr>
                          <w:r>
                            <w:rPr>
                              <w:szCs w:val="24"/>
                              <w:lang w:eastAsia="lt-LT"/>
                            </w:rPr>
                            <w:t>„</w:t>
                          </w:r>
                          <w:sdt>
                            <w:sdtPr>
                              <w:alias w:val="Numeris"/>
                              <w:tag w:val="nr_b3bf7e56879740378ff75dce389e6298"/>
                              <w:lock w:val="sdtLocked"/>
                              <w:richText/>
                            </w:sdtPr>
                            <w:sdtContent>
                              <w:r>
                                <w:rPr>
                                  <w:szCs w:val="24"/>
                                  <w:lang w:eastAsia="lt-LT"/>
                                </w:rPr>
                                <w:t>21</w:t>
                              </w:r>
                            </w:sdtContent>
                          </w:sdt>
                          <w:r>
                            <w:rPr>
                              <w:szCs w:val="24"/>
                              <w:lang w:eastAsia="lt-LT"/>
                            </w:rPr>
                            <w:t>. Lietuvos Respublikos vidaus reikalų ministerija, norėdama pervesti ES finansinės paramos lėšas, gautas kaip kompensaciją už negautas dėl neišduotų vizų pajamas, teikia Valstybės iždo departamentui mokėjimo paraišką dėl lėšų pervedimo iš atitinkamos ES finansinės priemonės sąskaitos į valstybės iždo pagrindinę sąskaitą Nr. </w:t>
                          </w:r>
                          <w:r>
                            <w:rPr>
                              <w:b/>
                              <w:szCs w:val="24"/>
                              <w:lang w:eastAsia="lt-LT"/>
                            </w:rPr>
                            <w:t xml:space="preserve"> </w:t>
                          </w:r>
                          <w:r>
                            <w:rPr>
                              <w:szCs w:val="24"/>
                              <w:lang w:eastAsia="lt-LT"/>
                            </w:rPr>
                            <w:t>LT784040063650000001. Mokėjimo paraiškoje turi būti įrašomas konsuliniam mokesčiui priskirtas įmokos kodas. Apskaitoje šios lėšos registruojamos kaip gautas konsulinis mokestis.“</w:t>
                          </w:r>
                        </w:p>
                      </w:sdtContent>
                    </w:sdt>
                  </w:sdtContent>
                </w:sdt>
              </w:sdtContent>
            </w:sdt>
            <w:sdt>
              <w:sdtPr>
                <w:alias w:val="1.6 pp."/>
                <w:tag w:val="part_ab8b4819fe6c4c53affad63cc90ae398"/>
                <w:lock w:val="sdtLocked"/>
                <w:richText/>
              </w:sdtPr>
              <w:sdtContent>
                <w:p>
                  <w:pPr>
                    <w:tabs>
                      <w:tab w:val="left" w:pos="709"/>
                    </w:tabs>
                    <w:spacing w:line="276" w:lineRule="auto"/>
                    <w:ind w:firstLine="709"/>
                    <w:jc w:val="both"/>
                    <w:rPr>
                      <w:szCs w:val="24"/>
                      <w:lang w:eastAsia="lt-LT"/>
                    </w:rPr>
                  </w:pPr>
                  <w:sdt>
                    <w:sdtPr>
                      <w:alias w:val="Numeris"/>
                      <w:tag w:val="nr_ab8b4819fe6c4c53affad63cc90ae398"/>
                      <w:lock w:val="sdtLocked"/>
                      <w:richText/>
                    </w:sdtPr>
                    <w:sdtContent>
                      <w:r>
                        <w:rPr>
                          <w:szCs w:val="24"/>
                          <w:lang w:eastAsia="lt-LT"/>
                        </w:rPr>
                        <w:t>1.6</w:t>
                      </w:r>
                    </w:sdtContent>
                  </w:sdt>
                  <w:r>
                    <w:rPr>
                      <w:szCs w:val="24"/>
                      <w:lang w:eastAsia="lt-LT"/>
                    </w:rPr>
                    <w:t xml:space="preserve">. Pakeičiu </w:t>
                  </w:r>
                  <w:r>
                    <w:rPr>
                      <w:bCs/>
                      <w:szCs w:val="24"/>
                      <w:lang w:eastAsia="en-GB"/>
                    </w:rPr>
                    <w:t>26 punkto lentelės 11 punktą ir jį išdėstau taip</w:t>
                  </w:r>
                  <w:r>
                    <w:rPr>
                      <w:szCs w:val="24"/>
                      <w:lang w:eastAsia="lt-LT"/>
                    </w:rPr>
                    <w:t>:</w:t>
                  </w:r>
                </w:p>
                <w:tbl>
                  <w:tblPr>
                    <w:tblW w:w="5000" w:type="pct"/>
                    <w:tblCellMar>
                      <w:left w:w="0" w:type="dxa"/>
                      <w:right w:w="0" w:type="dxa"/>
                    </w:tblCellMar>
                    <w:tblLook w:val="0000" w:firstRow="0" w:lastRow="0" w:firstColumn="0" w:lastColumn="0" w:noHBand="0" w:noVBand="0"/>
                  </w:tblPr>
                  <w:tblGrid>
                    <w:gridCol w:w="583"/>
                    <w:gridCol w:w="3619"/>
                    <w:gridCol w:w="1626"/>
                    <w:gridCol w:w="3658"/>
                  </w:tblGrid>
                  <w:tr>
                    <w:trPr>
                      <w:cantSplit/>
                      <w:trHeight w:val="584"/>
                    </w:trPr>
                    <w:tc>
                      <w:tcPr>
                        <w:tcW w:w="30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vAlign w:val="center"/>
                      </w:tcPr>
                      <w:p>
                        <w:pPr>
                          <w:tabs>
                            <w:tab w:val="left" w:pos="829"/>
                            <w:tab w:val="center" w:pos="1733"/>
                            <w:tab w:val="left" w:pos="5160"/>
                            <w:tab w:val="right" w:pos="9808"/>
                          </w:tabs>
                          <w:suppressAutoHyphens/>
                          <w:spacing w:line="288" w:lineRule="auto"/>
                          <w:jc w:val="center"/>
                          <w:textAlignment w:val="center"/>
                          <w:rPr>
                            <w:color w:val="000000"/>
                            <w:szCs w:val="24"/>
                            <w:lang w:eastAsia="lt-LT"/>
                          </w:rPr>
                        </w:pPr>
                        <w:r>
                          <w:rPr>
                            <w:color w:val="000000"/>
                            <w:szCs w:val="24"/>
                            <w:lang w:eastAsia="lt-LT"/>
                          </w:rPr>
                          <w:t>„11.</w:t>
                        </w:r>
                      </w:p>
                    </w:tc>
                    <w:tc>
                      <w:tcPr>
                        <w:tcW w:w="190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829"/>
                            <w:tab w:val="center" w:pos="1733"/>
                            <w:tab w:val="left" w:pos="5160"/>
                            <w:tab w:val="right" w:pos="9808"/>
                          </w:tabs>
                          <w:suppressAutoHyphens/>
                          <w:spacing w:line="288" w:lineRule="auto"/>
                          <w:textAlignment w:val="center"/>
                          <w:rPr>
                            <w:color w:val="000000"/>
                            <w:szCs w:val="24"/>
                            <w:highlight w:val="yellow"/>
                            <w:lang w:eastAsia="lt-LT"/>
                          </w:rPr>
                        </w:pPr>
                        <w:r>
                          <w:rPr>
                            <w:color w:val="000000"/>
                            <w:szCs w:val="24"/>
                            <w:lang w:eastAsia="lt-LT"/>
                          </w:rPr>
                          <w:t>Atsinaujinančių ener</w:t>
                        </w:r>
                        <w:r>
                          <w:rPr>
                            <w:lang w:eastAsia="lt-LT"/>
                          </w:rPr>
                          <w:t>gijos išteklių realizavimo pajamos</w:t>
                        </w:r>
                      </w:p>
                    </w:tc>
                    <w:tc>
                      <w:tcPr>
                        <w:tcW w:w="85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160"/>
                            <w:tab w:val="right" w:pos="9808"/>
                          </w:tabs>
                          <w:suppressAutoHyphens/>
                          <w:spacing w:line="288" w:lineRule="auto"/>
                          <w:jc w:val="center"/>
                          <w:textAlignment w:val="center"/>
                          <w:rPr>
                            <w:szCs w:val="24"/>
                            <w:lang w:eastAsia="lt-LT"/>
                          </w:rPr>
                        </w:pPr>
                        <w:r>
                          <w:rPr>
                            <w:szCs w:val="24"/>
                            <w:lang w:eastAsia="lt-LT"/>
                          </w:rPr>
                          <w:t>4.1.2.1.1.8</w:t>
                        </w:r>
                      </w:p>
                    </w:tc>
                    <w:tc>
                      <w:tcPr>
                        <w:tcW w:w="1928"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160"/>
                            <w:tab w:val="right" w:pos="9808"/>
                          </w:tabs>
                          <w:suppressAutoHyphens/>
                          <w:spacing w:line="288" w:lineRule="auto"/>
                          <w:textAlignment w:val="center"/>
                          <w:rPr>
                            <w:szCs w:val="24"/>
                            <w:lang w:eastAsia="lt-LT"/>
                          </w:rPr>
                        </w:pPr>
                        <w:r>
                          <w:rPr>
                            <w:szCs w:val="24"/>
                            <w:lang w:eastAsia="lt-LT"/>
                          </w:rPr>
                          <w:t>11900, 11901“.</w:t>
                        </w:r>
                      </w:p>
                    </w:tc>
                  </w:tr>
                </w:tbl>
                <w:p/>
              </w:sdtContent>
            </w:sdt>
            <w:sdt>
              <w:sdtPr>
                <w:alias w:val="1.7 pp."/>
                <w:tag w:val="part_8efc419e655543269e995bdf58f29b21"/>
                <w:lock w:val="sdtLocked"/>
                <w:richText/>
              </w:sdtPr>
              <w:sdtContent>
                <w:p>
                  <w:pPr>
                    <w:spacing w:line="276" w:lineRule="auto"/>
                    <w:ind w:firstLine="709"/>
                    <w:jc w:val="both"/>
                    <w:rPr>
                      <w:bCs/>
                      <w:szCs w:val="24"/>
                      <w:lang w:eastAsia="en-GB"/>
                    </w:rPr>
                  </w:pPr>
                  <w:sdt>
                    <w:sdtPr>
                      <w:alias w:val="Numeris"/>
                      <w:tag w:val="nr_8efc419e655543269e995bdf58f29b21"/>
                      <w:lock w:val="sdtLocked"/>
                      <w:richText/>
                    </w:sdtPr>
                    <w:sdtContent>
                      <w:r>
                        <w:rPr>
                          <w:szCs w:val="24"/>
                          <w:lang w:eastAsia="lt-LT"/>
                        </w:rPr>
                        <w:t>1.7</w:t>
                      </w:r>
                    </w:sdtContent>
                  </w:sdt>
                  <w:r>
                    <w:rPr>
                      <w:szCs w:val="24"/>
                      <w:lang w:eastAsia="lt-LT"/>
                    </w:rPr>
                    <w:t xml:space="preserve">. Papildau priedą </w:t>
                  </w:r>
                  <w:r>
                    <w:rPr>
                      <w:bCs/>
                      <w:szCs w:val="24"/>
                      <w:lang w:eastAsia="en-GB"/>
                    </w:rPr>
                    <w:t>1.39 papunkčiu:</w:t>
                  </w:r>
                </w:p>
                <w:tbl>
                  <w:tblPr>
                    <w:tblW w:w="9923" w:type="dxa"/>
                    <w:tblInd w:w="-279" w:type="dxa"/>
                    <w:tblLayout w:type="fixed"/>
                    <w:tblCellMar>
                      <w:left w:w="0" w:type="dxa"/>
                      <w:right w:w="0" w:type="dxa"/>
                    </w:tblCellMar>
                    <w:tblLook w:val="0000" w:firstRow="0" w:lastRow="0" w:firstColumn="0" w:lastColumn="0" w:noHBand="0" w:noVBand="0"/>
                  </w:tblPr>
                  <w:tblGrid>
                    <w:gridCol w:w="710"/>
                    <w:gridCol w:w="8221"/>
                    <w:gridCol w:w="992"/>
                  </w:tblGrid>
                  <w:tr>
                    <w:trPr>
                      <w:trHeight w:val="62"/>
                    </w:trPr>
                    <w:tc>
                      <w:tcPr>
                        <w:tcW w:w="710" w:type="dxa"/>
                        <w:tcBorders>
                          <w:top w:val="single" w:sz="4" w:space="0" w:color="000000"/>
                          <w:left w:val="single" w:sz="4" w:space="0" w:color="000000"/>
                          <w:bottom w:val="single" w:sz="4" w:space="0" w:color="000000"/>
                          <w:right w:val="single" w:sz="4" w:space="0" w:color="000000"/>
                        </w:tcBorders>
                      </w:tcPr>
                      <w:p>
                        <w:pPr>
                          <w:suppressAutoHyphens/>
                          <w:spacing w:line="276" w:lineRule="auto"/>
                          <w:jc w:val="center"/>
                          <w:textAlignment w:val="center"/>
                          <w:rPr>
                            <w:szCs w:val="24"/>
                            <w:vertAlign w:val="superscript"/>
                            <w:lang w:eastAsia="lt-LT"/>
                          </w:rPr>
                        </w:pPr>
                        <w:r>
                          <w:rPr>
                            <w:szCs w:val="24"/>
                            <w:lang w:eastAsia="lt-LT"/>
                          </w:rPr>
                          <w:t>„1.39.</w:t>
                        </w:r>
                      </w:p>
                    </w:tc>
                    <w:tc>
                      <w:tcPr>
                        <w:tcW w:w="8221"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76" w:lineRule="auto"/>
                          <w:textAlignment w:val="center"/>
                          <w:rPr>
                            <w:szCs w:val="24"/>
                            <w:lang w:eastAsia="lt-LT"/>
                          </w:rPr>
                        </w:pPr>
                        <w:r>
                          <w:rPr>
                            <w:bCs/>
                          </w:rPr>
                          <w:t>atsinaujinančių išteklių energetikos vystymo jūroje lėšos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76" w:lineRule="auto"/>
                          <w:jc w:val="center"/>
                          <w:textAlignment w:val="center"/>
                          <w:rPr>
                            <w:szCs w:val="24"/>
                            <w:lang w:eastAsia="lt-LT"/>
                          </w:rPr>
                        </w:pPr>
                        <w:r>
                          <w:rPr>
                            <w:szCs w:val="24"/>
                            <w:lang w:eastAsia="lt-LT"/>
                          </w:rPr>
                          <w:t>11901“.</w:t>
                        </w:r>
                      </w:p>
                    </w:tc>
                  </w:tr>
                </w:tbl>
                <w:p/>
              </w:sdtContent>
            </w:sdt>
          </w:sdtContent>
        </w:sdt>
        <w:sdt>
          <w:sdtPr>
            <w:alias w:val="2 p."/>
            <w:tag w:val="part_dd2e1155abe34dfa855b73b245b5fa85"/>
            <w:lock w:val="sdtLocked"/>
            <w:richText/>
          </w:sdtPr>
          <w:sdtContent>
            <w:p>
              <w:pPr>
                <w:tabs>
                  <w:tab w:val="left" w:pos="567"/>
                </w:tabs>
                <w:spacing w:line="276" w:lineRule="auto"/>
                <w:ind w:firstLine="709"/>
                <w:jc w:val="both"/>
                <w:rPr>
                  <w:lang w:eastAsia="lt-LT"/>
                </w:rPr>
              </w:pPr>
              <w:sdt>
                <w:sdtPr>
                  <w:alias w:val="Numeris"/>
                  <w:tag w:val="nr_dd2e1155abe34dfa855b73b245b5fa85"/>
                  <w:lock w:val="sdtLocked"/>
                  <w:richText/>
                </w:sdtPr>
                <w:sdtContent>
                  <w:r>
                    <w:rPr>
                      <w:szCs w:val="24"/>
                      <w:lang w:eastAsia="lt-LT"/>
                    </w:rPr>
                    <w:t>2</w:t>
                  </w:r>
                </w:sdtContent>
              </w:sdt>
              <w:r>
                <w:rPr>
                  <w:szCs w:val="24"/>
                  <w:lang w:eastAsia="lt-LT"/>
                </w:rPr>
                <w:t>.</w:t>
              </w:r>
              <w:r>
                <w:rPr>
                  <w:lang w:eastAsia="lt-LT"/>
                </w:rPr>
                <w:t xml:space="preserve"> N u s t a t a u, kad šio įsakymo 1.1–1.5 papunkčiai įsigalioja 2023 m. lapkričio 1 d.</w:t>
              </w:r>
            </w:p>
            <w:p>
              <w:pPr>
                <w:ind w:firstLine="709"/>
                <w:rPr>
                  <w:lang w:eastAsia="lt-LT"/>
                </w:rPr>
              </w:pPr>
            </w:p>
            <w:p>
              <w:pPr>
                <w:ind w:firstLine="709"/>
                <w:rPr>
                  <w:lang w:eastAsia="lt-LT"/>
                </w:rPr>
              </w:pPr>
            </w:p>
            <w:p>
              <w:pPr>
                <w:ind w:firstLine="709"/>
                <w:rPr>
                  <w:lang w:eastAsia="lt-LT"/>
                </w:rPr>
              </w:pPr>
            </w:p>
          </w:sdtContent>
        </w:sdt>
        <w:sdt>
          <w:sdtPr>
            <w:alias w:val="signatura"/>
            <w:tag w:val="part_092f3ab87ba14bffa7f197a9168be653"/>
            <w:lock w:val="sdtLocked"/>
            <w:richText/>
          </w:sdtPr>
          <w:sdtContent>
            <w:p>
              <w:pPr>
                <w:rPr>
                  <w:szCs w:val="24"/>
                  <w:lang w:eastAsia="lt-LT"/>
                </w:rPr>
              </w:pPr>
              <w:r>
                <w:rPr>
                  <w:szCs w:val="24"/>
                  <w:lang w:eastAsia="lt-LT"/>
                </w:rPr>
                <w:t>Finansų ministrė</w:t>
                <w:tab/>
                <w:tab/>
                <w:tab/>
                <w:tab/>
                <w:tab/>
                <w:tab/>
                <w:tab/>
                <w:tab/>
                <w:tab/>
                <w:t>Gintarė Skaistė</w:t>
              </w:r>
            </w:p>
            <w:p>
              <w:pPr>
                <w:jc w:val="center"/>
                <w:rPr>
                  <w:lang w:eastAsia="lt-LT"/>
                </w:rPr>
              </w:pPr>
            </w:p>
          </w:sdtContent>
        </w:sdt>
      </w:sdtContent>
    </w:sdt>
    <w:sectPr>
      <w:headerReference w:type="even" r:id="rId8"/>
      <w:headerReference w:type="default" r:id="rId9"/>
      <w:footerReference w:type="even" r:id="rId10"/>
      <w:footerReference w:type="default" r:id="rId11"/>
      <w:headerReference w:type="first" r:id="rId12"/>
      <w:footerReference w:type="first" r:id="rId13"/>
      <w:pgSz w:w="11906" w:h="16838" w:code="9"/>
      <w:pgMar w:top="992" w:right="709" w:bottom="992" w:left="1701" w:header="561" w:footer="686" w:gutter="0"/>
      <w:pgNumType w:start="1"/>
      <w:cols w:space="1296"/>
      <w:formProt w:val="0"/>
      <w:titlePg/>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lang w:eastAsia="lt-LT"/>
        </w:rPr>
      </w:pPr>
      <w:r>
        <w:rPr>
          <w:lang w:eastAsia="lt-LT"/>
        </w:rPr>
        <w:separator/>
      </w:r>
    </w:p>
  </w:endnote>
  <w:endnote w:type="continuationSeparator" w:id="0">
    <w:p>
      <w:pPr>
        <w:rPr>
          <w:lang w:eastAsia="lt-LT"/>
        </w:rPr>
      </w:pPr>
      <w:r>
        <w:rPr>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rPr>
        <w:lang w:eastAsia="lt-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ind w:right="227"/>
      <w:jc w:val="right"/>
      <w:rPr>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rPr>
        <w:lang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lang w:eastAsia="lt-LT"/>
        </w:rPr>
      </w:pPr>
      <w:r>
        <w:rPr>
          <w:lang w:eastAsia="lt-LT"/>
        </w:rPr>
        <w:separator/>
      </w:r>
    </w:p>
  </w:footnote>
  <w:footnote w:type="continuationSeparator" w:id="0">
    <w:p>
      <w:pPr>
        <w:rPr>
          <w:lang w:eastAsia="lt-LT"/>
        </w:rPr>
      </w:pPr>
      <w:r>
        <w:rPr>
          <w:lang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153"/>
        <w:tab w:val="right" w:pos="8306"/>
      </w:tabs>
      <w:spacing w:after="160" w:line="259" w:lineRule="auto"/>
      <w:rPr>
        <w:sz w:val="22"/>
        <w:szCs w:val="22"/>
        <w:lang w:eastAsia="lt-LT"/>
      </w:rPr>
    </w:pPr>
    <w:r>
      <w:rPr>
        <w:sz w:val="22"/>
        <w:szCs w:val="22"/>
        <w:lang w:eastAsia="lt-LT"/>
      </w:rPr>
      <w:fldChar w:fldCharType="begin"/>
    </w:r>
    <w:r>
      <w:rPr>
        <w:sz w:val="22"/>
        <w:szCs w:val="22"/>
        <w:lang w:eastAsia="lt-LT"/>
      </w:rPr>
      <w:instrText xml:space="preserve">PAGE  </w:instrText>
    </w:r>
    <w:r>
      <w:rPr>
        <w:sz w:val="22"/>
        <w:szCs w:val="22"/>
        <w:lang w:eastAsia="lt-LT"/>
      </w:rPr>
      <w:fldChar w:fldCharType="end"/>
    </w:r>
  </w:p>
  <w:p>
    <w:pPr>
      <w:tabs>
        <w:tab w:val="center" w:pos="4153"/>
        <w:tab w:val="right" w:pos="8306"/>
      </w:tabs>
      <w:spacing w:after="160" w:line="259" w:lineRule="auto"/>
      <w:rPr>
        <w:sz w:val="22"/>
        <w:szCs w:val="22"/>
        <w:lang w:eastAsia="lt-LT"/>
      </w:rPr>
    </w:pPr>
  </w:p>
  <w:p>
    <w:pPr>
      <w:spacing w:after="160" w:line="259" w:lineRule="auto"/>
      <w:rPr>
        <w:sz w:val="22"/>
        <w:szCs w:val="22"/>
        <w:lang w:eastAsia="lt-LT"/>
      </w:rPr>
    </w:pPr>
  </w:p>
  <w:p>
    <w:pPr>
      <w:spacing w:after="160" w:line="259" w:lineRule="auto"/>
      <w:rPr>
        <w:sz w:val="22"/>
        <w:szCs w:val="22"/>
        <w:lang w:eastAsia="lt-LT"/>
      </w:rPr>
    </w:pPr>
  </w:p>
  <w:p>
    <w:pPr>
      <w:spacing w:after="160" w:line="259" w:lineRule="auto"/>
      <w:rPr>
        <w:sz w:val="22"/>
        <w:szCs w:val="22"/>
        <w:lang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spacing w:after="160" w:line="259" w:lineRule="auto"/>
      <w:rPr>
        <w:sz w:val="22"/>
        <w:szCs w:val="22"/>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spacing w:after="160" w:line="259" w:lineRule="auto"/>
      <w:rPr>
        <w:sz w:val="22"/>
        <w:szCs w:val="22"/>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C6268"/>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AF9A2C5A-C97C-44B8-A6CB-0DD054A56AE4}"/>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17534788">
      <w:bodyDiv w:val="1"/>
      <w:marLeft w:val="0"/>
      <w:marRight w:val="0"/>
      <w:marTop w:val="0"/>
      <w:marBottom w:val="0"/>
      <w:divBdr>
        <w:top w:val="none" w:sz="0" w:space="0" w:color="auto"/>
        <w:left w:val="none" w:sz="0" w:space="0" w:color="auto"/>
        <w:bottom w:val="none" w:sz="0" w:space="0" w:color="auto"/>
        <w:right w:val="none" w:sz="0" w:space="0" w:color="auto"/>
      </w:divBdr>
    </w:div>
    <w:div w:id="390614799">
      <w:bodyDiv w:val="1"/>
      <w:marLeft w:val="0"/>
      <w:marRight w:val="0"/>
      <w:marTop w:val="0"/>
      <w:marBottom w:val="0"/>
      <w:divBdr>
        <w:top w:val="none" w:sz="0" w:space="0" w:color="auto"/>
        <w:left w:val="none" w:sz="0" w:space="0" w:color="auto"/>
        <w:bottom w:val="none" w:sz="0" w:space="0" w:color="auto"/>
        <w:right w:val="none" w:sz="0" w:space="0" w:color="auto"/>
      </w:divBdr>
    </w:div>
    <w:div w:id="780030078">
      <w:bodyDiv w:val="1"/>
      <w:marLeft w:val="0"/>
      <w:marRight w:val="0"/>
      <w:marTop w:val="0"/>
      <w:marBottom w:val="0"/>
      <w:divBdr>
        <w:top w:val="none" w:sz="0" w:space="0" w:color="auto"/>
        <w:left w:val="none" w:sz="0" w:space="0" w:color="auto"/>
        <w:bottom w:val="none" w:sz="0" w:space="0" w:color="auto"/>
        <w:right w:val="none" w:sz="0" w:space="0" w:color="auto"/>
      </w:divBdr>
    </w:div>
    <w:div w:id="870187181">
      <w:bodyDiv w:val="1"/>
      <w:marLeft w:val="0"/>
      <w:marRight w:val="0"/>
      <w:marTop w:val="0"/>
      <w:marBottom w:val="0"/>
      <w:divBdr>
        <w:top w:val="none" w:sz="0" w:space="0" w:color="auto"/>
        <w:left w:val="none" w:sz="0" w:space="0" w:color="auto"/>
        <w:bottom w:val="none" w:sz="0" w:space="0" w:color="auto"/>
        <w:right w:val="none" w:sz="0" w:space="0" w:color="auto"/>
      </w:divBdr>
    </w:div>
    <w:div w:id="1370257436">
      <w:bodyDiv w:val="1"/>
      <w:marLeft w:val="0"/>
      <w:marRight w:val="0"/>
      <w:marTop w:val="0"/>
      <w:marBottom w:val="0"/>
      <w:divBdr>
        <w:top w:val="none" w:sz="0" w:space="0" w:color="auto"/>
        <w:left w:val="none" w:sz="0" w:space="0" w:color="auto"/>
        <w:bottom w:val="none" w:sz="0" w:space="0" w:color="auto"/>
        <w:right w:val="none" w:sz="0" w:space="0" w:color="auto"/>
      </w:divBdr>
    </w:div>
    <w:div w:id="157123381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1.xml"/>
  <Relationship Id="rId11" Type="http://schemas.openxmlformats.org/officeDocument/2006/relationships/footer" Target="footer2.xml"/>
  <Relationship Id="rId12" Type="http://schemas.openxmlformats.org/officeDocument/2006/relationships/header" Target="header3.xml"/>
  <Relationship Id="rId13" Type="http://schemas.openxmlformats.org/officeDocument/2006/relationships/footer" Target="footer3.xml"/>
  <Relationship Id="rId14" Type="http://schemas.openxmlformats.org/officeDocument/2006/relationships/fontTable" Target="fontTable.xml"/>
  <Relationship Id="rId15" Type="http://schemas.openxmlformats.org/officeDocument/2006/relationships/theme" Target="theme/theme1.xml"/>
  <Relationship Id="rId16"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image" Target="media/image1.png"/>
  <Relationship Id="rId8" Type="http://schemas.openxmlformats.org/officeDocument/2006/relationships/header" Target="header1.xml"/>
  <Relationship Id="rId9" Type="http://schemas.openxmlformats.org/officeDocument/2006/relationships/header" Target="head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agrindine" DocPartId="87e4fdb11c7d426a8fb0c0cdbdede46e" PartId="ffd9789b2192435d9042dbe2758bbb73">
    <Part Type="punktas" Nr="1" Abbr="1 p." DocPartId="dc4fff1ee4a847c28a943efaeb9fd96b" PartId="99a7fb587793486ebdbb227a401647e9">
      <Part Type="papunktis" Nr="1.1" Abbr="1.1 pp." DocPartId="1bb319945cff4b088ed0d1808661f028" PartId="0b945ecf21294f229b4f8cb3d3d7b8ad">
        <Part Type="citata" DocPartId="823fa7b648204f608087a0ede0c4b718" PartId="5dd82cb1adef4f88b9657fddf3858175">
          <Part Type="punktas" Nr="4" Abbr="4 p." DocPartId="5df4e254ec1741678a8b4f77555823c5" PartId="22b91da2fa9447749b8c33dd0144f6b9"/>
        </Part>
      </Part>
      <Part Type="papunktis" Nr="1.2" Abbr="1.2 pp." DocPartId="5bdd32e3f69d49d894618f3d3345e3bb" PartId="eb70738a7e2345efae5c7ba6205a7050">
        <Part Type="citata" DocPartId="6bbd3441abcd4906a0780b32fae51231" PartId="d4cb0ae73ef64cca824f977f062fce21">
          <Part Type="punktas" Nr="6" Abbr="6 p." DocPartId="49b28b528db948628836a4fe1041c81e" PartId="2b613ba586784f329afa1262764138fd">
            <Part Type="papunktis" Nr="6.1" Abbr="6.1 pp." DocPartId="8cb78566693f48d1a03cbc0621e922df" PartId="93b7b01fd1994a27b34ac12fce90f003"/>
            <Part Type="papunktis" Nr="6.2" Abbr="6.2 pp." DocPartId="5192e9d0731c4e069ee22becc044e7af" PartId="6b56fead2fdb4fadbe137ffa11514df3"/>
          </Part>
        </Part>
      </Part>
      <Part Type="papunktis" Nr="1.3" Abbr="1.3 pp." DocPartId="f45b67a56f244d089d3f7c416d080851" PartId="110169045df9428db5779b9a12dd83d2">
        <Part Type="citata" DocPartId="dcf791e18ca442619458fbe4d5a1c39f" PartId="3ed90bac3e9347ac8373cd141e17bad5">
          <Part Type="punktas" Nr="8" Abbr="8 p." DocPartId="671177aeb491494888a3861d8406f6cc" PartId="b65c2add9f4443119b9e6039cb9edd3e"/>
        </Part>
      </Part>
      <Part Type="papunktis" Nr="1.4" Abbr="1.4 pp." DocPartId="04dab8b1b3814a4fb22212f0dc92e573" PartId="bd0125a340604c3f90eeab9c8eafba87">
        <Part Type="citata" DocPartId="8455f62c9b6b4aa0a42acda3ecf281dc" PartId="6f4f8b39793d418e88448fae695a4975">
          <Part Type="punktas" Nr="12" Abbr="12 p." DocPartId="8be5fb4491e0472c94eafac6a943e6ad" PartId="f3716dd8bc894f32837f1700a183389f"/>
        </Part>
      </Part>
      <Part Type="papunktis" Nr="1.5" Abbr="1.5 pp." DocPartId="bc8f5add9a1d478ea84d5f974c27e5b0" PartId="1f2a943af15249d4afbfdf0c6ea30ffd">
        <Part Type="citata" DocPartId="a20560e0aea1413ea8c71702df3f021c" PartId="236a3894707f439295e199f8c91a5c11">
          <Part Type="punktas" Nr="21" Abbr="21 p." DocPartId="44f7ebbf9c7b4ed0b3b877b7f5fff9eb" PartId="b3bf7e56879740378ff75dce389e6298"/>
        </Part>
      </Part>
      <Part Type="papunktis" Nr="1.6" Abbr="1.6 pp." DocPartId="c930ae7a9aab48e28fdcca1dee875e49" PartId="ab8b4819fe6c4c53affad63cc90ae398"/>
      <Part Type="papunktis" Nr="1.7" Abbr="1.7 pp." DocPartId="ec40bd3f848448a0bd2e600af3268cb0" PartId="8efc419e655543269e995bdf58f29b21"/>
    </Part>
    <Part Type="punktas" Nr="2" Abbr="2 p." DocPartId="f4f75ff68c064d749f02c5e33c2c8112" PartId="dd2e1155abe34dfa855b73b245b5fa85"/>
    <Part Type="signatura" DocPartId="572c247ceb4841069ef5819170d672b3" PartId="092f3ab87ba14bffa7f197a9168be653"/>
  </Part>
</Parts>
</file>

<file path=customXml/itemProps1.xml><?xml version="1.0" encoding="utf-8"?>
<ds:datastoreItem xmlns:ds="http://schemas.openxmlformats.org/officeDocument/2006/customXml" ds:itemID="{9BD41257-F080-4357-B09E-FA5F79596DDC}">
  <ds:schemaRefs>
    <ds:schemaRef ds:uri="http://schemas.openxmlformats.org/officeDocument/2006/bibliography"/>
  </ds:schemaRefs>
</ds:datastoreItem>
</file>

<file path=customXml/itemProps2.xml><?xml version="1.0" encoding="utf-8"?>
<ds:datastoreItem xmlns:ds="http://schemas.openxmlformats.org/officeDocument/2006/customXml" ds:itemID="{901F51BB-EA0D-422E-BF84-C487F500E534}">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531</Words>
  <Characters>3479</Characters>
  <Application>Microsoft Office Word</Application>
  <DocSecurity>4</DocSecurity>
  <Lines>72</Lines>
  <Paragraphs>33</Paragraphs>
  <ScaleCrop>false</ScaleCrop>
  <HeadingPairs>
    <vt:vector size="2" baseType="variant">
      <vt:variant>
        <vt:lpstr>Pavadinimas</vt:lpstr>
      </vt:variant>
      <vt:variant>
        <vt:i4>1</vt:i4>
      </vt:variant>
    </vt:vector>
  </HeadingPairs>
  <TitlesOfParts>
    <vt:vector size="1" baseType="lpstr">
      <vt:lpstr/>
    </vt:vector>
  </TitlesOfParts>
  <Company>FM</Company>
  <LinksUpToDate>false</LinksUpToDate>
  <CharactersWithSpaces>3977</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2023-09-29T12:38:00Z</dcterms:created>
  <dc:creator>Aušra Kolpakovienė</dc:creator>
  <lastModifiedBy>adlibuser</lastModifiedBy>
  <lastPrinted>2017-12-22T10:04:00Z</lastPrinted>
  <dcterms:modified xsi:type="dcterms:W3CDTF">2023-09-29T12:38:00Z</dcterms:modified>
  <revision>2</revision>
</coreProperties>
</file>