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696c5bb9b964e69bd540a64716a28e9"/>
        <w:lock w:val="sdtLocked"/>
        <w:richText/>
      </w:sdtPr>
      <w:sdtContent>
        <w:p>
          <w:pPr>
            <w:tabs>
              <w:tab w:val="center" w:pos="4986"/>
              <w:tab w:val="right" w:pos="9972"/>
            </w:tabs>
          </w:pPr>
        </w:p>
        <w:p>
          <w:pPr>
            <w:suppressAutoHyphens/>
            <w:jc w:val="center"/>
            <w:rPr>
              <w:b/>
              <w:bCs/>
              <w:lang w:eastAsia="lt-LT"/>
            </w:rPr>
          </w:pPr>
          <w:r>
            <w:rPr>
              <w:lang w:val="en-US"/>
            </w:rPr>
            <w:drawing>
              <wp:inline distT="0" distB="0" distL="0" distR="0" wp14:anchorId="247DFC24" wp14:editId="103ECA2C">
                <wp:extent cx="487680" cy="624840"/>
                <wp:effectExtent l="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7680" cy="624840"/>
                        </a:xfrm>
                        <a:prstGeom prst="rect">
                          <a:avLst/>
                        </a:prstGeom>
                        <a:noFill/>
                        <a:ln>
                          <a:noFill/>
                        </a:ln>
                      </pic:spPr>
                    </pic:pic>
                  </a:graphicData>
                </a:graphic>
              </wp:inline>
            </w:drawing>
          </w:r>
        </w:p>
        <w:p>
          <w:pPr>
            <w:rPr>
              <w:sz w:val="10"/>
              <w:szCs w:val="10"/>
            </w:rPr>
          </w:pPr>
        </w:p>
        <w:p>
          <w:pPr>
            <w:suppressAutoHyphens/>
            <w:jc w:val="center"/>
            <w:rPr>
              <w:b/>
              <w:bCs/>
              <w:lang w:eastAsia="lt-LT"/>
            </w:rPr>
          </w:pPr>
          <w:r>
            <w:rPr>
              <w:b/>
              <w:bCs/>
              <w:lang w:eastAsia="lt-LT"/>
            </w:rPr>
            <w:t>LIETUVOS RESPUBLIKOS APLINKOS MINISTRAS</w:t>
          </w:r>
        </w:p>
        <w:p>
          <w:pPr>
            <w:suppressAutoHyphens/>
            <w:jc w:val="center"/>
            <w:rPr>
              <w:b/>
              <w:bCs/>
              <w:lang w:eastAsia="lt-LT"/>
            </w:rPr>
          </w:pPr>
        </w:p>
        <w:p>
          <w:pPr>
            <w:suppressAutoHyphens/>
            <w:jc w:val="center"/>
            <w:rPr>
              <w:b/>
              <w:bCs/>
              <w:lang w:eastAsia="lt-LT"/>
            </w:rPr>
          </w:pPr>
          <w:r>
            <w:rPr>
              <w:b/>
              <w:bCs/>
              <w:lang w:eastAsia="lt-LT"/>
            </w:rPr>
            <w:t>ĮSAKYMAS</w:t>
          </w:r>
        </w:p>
        <w:p>
          <w:pPr>
            <w:suppressAutoHyphens/>
            <w:jc w:val="center"/>
            <w:rPr>
              <w:b/>
              <w:szCs w:val="24"/>
              <w:lang w:eastAsia="lt-LT"/>
            </w:rPr>
          </w:pPr>
          <w:r>
            <w:rPr>
              <w:b/>
              <w:bCs/>
              <w:szCs w:val="24"/>
              <w:lang w:eastAsia="lt-LT"/>
            </w:rPr>
            <w:t xml:space="preserve">DĖL </w:t>
          </w:r>
          <w:r>
            <w:rPr>
              <w:b/>
              <w:caps/>
              <w:szCs w:val="24"/>
              <w:lang w:eastAsia="lt-LT"/>
            </w:rPr>
            <w:t>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suppressAutoHyphens/>
            <w:jc w:val="center"/>
            <w:rPr>
              <w:b/>
              <w:lang w:eastAsia="lt-LT"/>
            </w:rPr>
          </w:pPr>
        </w:p>
        <w:p>
          <w:pPr>
            <w:suppressAutoHyphens/>
            <w:jc w:val="center"/>
            <w:rPr>
              <w:lang w:eastAsia="lt-LT"/>
            </w:rPr>
          </w:pPr>
          <w:r>
            <w:t>2023 m. birželio 5 d.</w:t>
          </w:r>
          <w:r>
            <w:rPr>
              <w:lang w:eastAsia="lt-LT"/>
            </w:rPr>
            <w:t xml:space="preserve"> Nr. D1-176</w:t>
          </w:r>
        </w:p>
        <w:p>
          <w:pPr>
            <w:suppressAutoHyphens/>
            <w:jc w:val="center"/>
            <w:rPr>
              <w:lang w:eastAsia="lt-LT"/>
            </w:rPr>
          </w:pPr>
          <w:r>
            <w:rPr>
              <w:lang w:eastAsia="lt-LT"/>
            </w:rPr>
            <w:t>Vilnius</w:t>
            <w:br/>
          </w:r>
        </w:p>
        <w:p>
          <w:pPr>
            <w:suppressAutoHyphens/>
            <w:jc w:val="center"/>
            <w:rPr>
              <w:lang w:eastAsia="lt-LT"/>
            </w:rPr>
          </w:pPr>
        </w:p>
        <w:sdt>
          <w:sdtPr>
            <w:alias w:val="preambule"/>
            <w:tag w:val="part_7a799f9e57fe4f9aa766f9f23e3e5657"/>
            <w:lock w:val="sdtLocked"/>
            <w:richText/>
          </w:sdtPr>
          <w:sdtContent>
            <w:p>
              <w:pPr>
                <w:suppressAutoHyphens/>
                <w:ind w:firstLine="567"/>
                <w:jc w:val="both"/>
                <w:textAlignment w:val="center"/>
                <w:rPr>
                  <w:color w:val="000000"/>
                  <w:szCs w:val="24"/>
                  <w:lang w:eastAsia="lt-LT"/>
                </w:rPr>
              </w:pPr>
              <w:r>
                <w:rPr>
                  <w:spacing w:val="60"/>
                  <w:szCs w:val="24"/>
                  <w:lang w:eastAsia="lt-LT"/>
                </w:rPr>
                <w:t>Pakeičiu</w:t>
              </w:r>
              <w:r>
                <w:rPr>
                  <w:szCs w:val="24"/>
                  <w:lang w:eastAsia="lt-LT"/>
                </w:rPr>
                <w:t xml:space="preserve"> </w:t>
              </w:r>
              <w:r>
                <w:rPr>
                  <w:color w:val="000000"/>
                  <w:szCs w:val="24"/>
                  <w:lang w:eastAsia="lt-LT"/>
                </w:rPr>
                <w:t>Aplinkosaugos sąlygų plaukioti paviršiniuose vandens telkiniuose plaukiojimo priemonėmis ir plūduriuojančių priemonių įrengimo ir naudojimo, jų statymo ir (arba) švartavimo aplinkosauginių reikalavimų, patvirtintų</w:t>
              </w:r>
              <w:r>
                <w:rPr>
                  <w:color w:val="000000"/>
                  <w:spacing w:val="33"/>
                  <w:szCs w:val="24"/>
                  <w:lang w:eastAsia="lt-LT"/>
                </w:rPr>
                <w:t xml:space="preserve"> </w:t>
              </w:r>
              <w:r>
                <w:rPr>
                  <w:color w:val="000000"/>
                  <w:szCs w:val="24"/>
                  <w:lang w:eastAsia="lt-LT"/>
                </w:rPr>
                <w:t>Lietuvos Respublikos aplinkos ministro 2004 m. balandžio 15 d. įsakymu Nr. D1-187 „</w:t>
              </w:r>
              <w:r>
                <w:rPr>
                  <w:szCs w:val="24"/>
                  <w:lang w:eastAsia="lt-LT"/>
                </w:rPr>
                <w:t xml:space="preserve">Dėl </w:t>
              </w:r>
              <w:r>
                <w:rPr>
                  <w:color w:val="000000"/>
                  <w:szCs w:val="24"/>
                  <w:lang w:eastAsia="lt-LT"/>
                </w:rPr>
                <w:t>Aplinkosaugos sąlygų plaukioti paviršiniuose vandens telkiniuose plaukiojimo priemonėmis ir plūduriuojančių priemonių įrengimo ir naudojimo, jų statymo ir (arba) švartavimo aplinkosauginių reikalavimų</w:t>
              </w:r>
              <w:r>
                <w:rPr>
                  <w:szCs w:val="24"/>
                  <w:lang w:eastAsia="lt-LT"/>
                </w:rPr>
                <w:t xml:space="preserve"> patvirtinimo</w:t>
              </w:r>
              <w:r>
                <w:rPr>
                  <w:color w:val="000000"/>
                  <w:szCs w:val="24"/>
                  <w:lang w:eastAsia="lt-LT"/>
                </w:rPr>
                <w:t>“, priedo 8 punktą ir jį išdėstau taip:</w:t>
              </w:r>
            </w:p>
          </w:sdtContent>
        </w:sdt>
        <w:sdt>
          <w:sdtPr>
            <w:alias w:val="lentele"/>
            <w:tag w:val="part_cb65e52743694cfa917a812a8604b195"/>
            <w:lock w:val="sdtLocked"/>
            <w:richText/>
          </w:sdtPr>
          <w:sdtContent>
            <w:tbl>
              <w:tblPr>
                <w:tblW w:w="9639" w:type="dxa"/>
                <w:tblInd w:w="1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6"/>
                <w:gridCol w:w="1108"/>
                <w:gridCol w:w="851"/>
                <w:gridCol w:w="709"/>
                <w:gridCol w:w="1134"/>
                <w:gridCol w:w="850"/>
                <w:gridCol w:w="4421"/>
              </w:tblGrid>
              <w:tr>
                <w:tc>
                  <w:tcPr>
                    <w:tcW w:w="566" w:type="dxa"/>
                    <w:tcBorders>
                      <w:top w:val="single" w:sz="8" w:space="0" w:color="auto"/>
                      <w:left w:val="single" w:sz="8" w:space="0" w:color="auto"/>
                      <w:bottom w:val="single" w:sz="8" w:space="0" w:color="auto"/>
                      <w:right w:val="single" w:sz="8" w:space="0" w:color="auto"/>
                    </w:tcBorders>
                    <w:tcMar>
                      <w:top w:w="17" w:type="dxa"/>
                      <w:left w:w="17" w:type="dxa"/>
                      <w:bottom w:w="17" w:type="dxa"/>
                      <w:right w:w="17" w:type="dxa"/>
                    </w:tcMar>
                    <w:hideMark/>
                  </w:tcPr>
                  <w:p>
                    <w:pPr>
                      <w:suppressAutoHyphens/>
                      <w:jc w:val="both"/>
                      <w:rPr>
                        <w:szCs w:val="24"/>
                        <w:lang w:eastAsia="lt-LT"/>
                      </w:rPr>
                    </w:pPr>
                    <w:r>
                      <w:rPr>
                        <w:color w:val="000000"/>
                        <w:lang w:eastAsia="lt-LT"/>
                      </w:rPr>
                      <w:t>„8.</w:t>
                    </w:r>
                  </w:p>
                </w:tc>
                <w:tc>
                  <w:tcPr>
                    <w:tcW w:w="1108" w:type="dxa"/>
                    <w:tcBorders>
                      <w:top w:val="single" w:sz="8" w:space="0" w:color="auto"/>
                      <w:left w:val="nil"/>
                      <w:bottom w:val="single" w:sz="8" w:space="0" w:color="auto"/>
                      <w:right w:val="single" w:sz="8" w:space="0" w:color="auto"/>
                    </w:tcBorders>
                    <w:tcMar>
                      <w:top w:w="17" w:type="dxa"/>
                      <w:left w:w="17" w:type="dxa"/>
                      <w:bottom w:w="17" w:type="dxa"/>
                      <w:right w:w="17" w:type="dxa"/>
                    </w:tcMar>
                    <w:hideMark/>
                  </w:tcPr>
                  <w:p>
                    <w:pPr>
                      <w:suppressAutoHyphens/>
                      <w:jc w:val="both"/>
                      <w:rPr>
                        <w:szCs w:val="24"/>
                        <w:lang w:eastAsia="lt-LT"/>
                      </w:rPr>
                    </w:pPr>
                    <w:r>
                      <w:rPr>
                        <w:color w:val="000000"/>
                        <w:szCs w:val="24"/>
                        <w:lang w:eastAsia="lt-LT"/>
                      </w:rPr>
                      <w:t>Trakų r.</w:t>
                    </w:r>
                  </w:p>
                </w:tc>
                <w:tc>
                  <w:tcPr>
                    <w:tcW w:w="851" w:type="dxa"/>
                    <w:tcBorders>
                      <w:top w:val="single" w:sz="8" w:space="0" w:color="auto"/>
                      <w:left w:val="nil"/>
                      <w:bottom w:val="single" w:sz="8" w:space="0" w:color="auto"/>
                      <w:right w:val="single" w:sz="8" w:space="0" w:color="auto"/>
                    </w:tcBorders>
                    <w:tcMar>
                      <w:top w:w="17" w:type="dxa"/>
                      <w:left w:w="17" w:type="dxa"/>
                      <w:bottom w:w="17" w:type="dxa"/>
                      <w:right w:w="17" w:type="dxa"/>
                    </w:tcMar>
                  </w:tcPr>
                  <w:p>
                    <w:pPr>
                      <w:suppressAutoHyphens/>
                      <w:jc w:val="both"/>
                      <w:rPr>
                        <w:b/>
                        <w:szCs w:val="24"/>
                        <w:highlight w:val="yellow"/>
                        <w:lang w:eastAsia="lt-LT"/>
                      </w:rPr>
                    </w:pPr>
                    <w:r>
                      <w:rPr>
                        <w:color w:val="000000"/>
                        <w:szCs w:val="24"/>
                        <w:lang w:eastAsia="lt-LT"/>
                      </w:rPr>
                      <w:t>Galvės ežeras (Trakų INP)</w:t>
                    </w:r>
                  </w:p>
                </w:tc>
                <w:tc>
                  <w:tcPr>
                    <w:tcW w:w="709" w:type="dxa"/>
                    <w:tcBorders>
                      <w:top w:val="single" w:sz="8" w:space="0" w:color="auto"/>
                      <w:left w:val="nil"/>
                      <w:bottom w:val="single" w:sz="8" w:space="0" w:color="auto"/>
                      <w:right w:val="single" w:sz="8" w:space="0" w:color="auto"/>
                    </w:tcBorders>
                    <w:tcMar>
                      <w:top w:w="17" w:type="dxa"/>
                      <w:left w:w="17" w:type="dxa"/>
                      <w:bottom w:w="17" w:type="dxa"/>
                      <w:right w:w="17" w:type="dxa"/>
                    </w:tcMar>
                  </w:tcPr>
                  <w:p>
                    <w:pPr>
                      <w:suppressAutoHyphens/>
                      <w:ind w:left="-328" w:firstLine="328"/>
                      <w:jc w:val="both"/>
                      <w:rPr>
                        <w:bCs/>
                        <w:szCs w:val="24"/>
                        <w:highlight w:val="yellow"/>
                        <w:lang w:eastAsia="lt-LT"/>
                      </w:rPr>
                    </w:pPr>
                    <w:r>
                      <w:rPr>
                        <w:bCs/>
                        <w:szCs w:val="24"/>
                        <w:lang w:eastAsia="lt-LT"/>
                      </w:rPr>
                      <w:t>361,1</w:t>
                    </w:r>
                  </w:p>
                </w:tc>
                <w:tc>
                  <w:tcPr>
                    <w:tcW w:w="1134" w:type="dxa"/>
                    <w:tcBorders>
                      <w:top w:val="single" w:sz="8" w:space="0" w:color="auto"/>
                      <w:left w:val="nil"/>
                      <w:bottom w:val="single" w:sz="8" w:space="0" w:color="auto"/>
                      <w:right w:val="single" w:sz="8" w:space="0" w:color="auto"/>
                    </w:tcBorders>
                    <w:tcMar>
                      <w:top w:w="17" w:type="dxa"/>
                      <w:left w:w="17" w:type="dxa"/>
                      <w:bottom w:w="17" w:type="dxa"/>
                      <w:right w:w="17" w:type="dxa"/>
                    </w:tcMar>
                  </w:tcPr>
                  <w:p>
                    <w:pPr>
                      <w:suppressAutoHyphens/>
                      <w:jc w:val="both"/>
                      <w:rPr>
                        <w:b/>
                        <w:szCs w:val="24"/>
                        <w:lang w:eastAsia="lt-LT"/>
                      </w:rPr>
                    </w:pPr>
                    <w:r>
                      <w:rPr>
                        <w:color w:val="000000"/>
                        <w:szCs w:val="24"/>
                        <w:lang w:eastAsia="lt-LT"/>
                      </w:rPr>
                      <w:t>12030201</w:t>
                    </w:r>
                  </w:p>
                </w:tc>
                <w:tc>
                  <w:tcPr>
                    <w:tcW w:w="850" w:type="dxa"/>
                    <w:tcBorders>
                      <w:top w:val="single" w:sz="8" w:space="0" w:color="auto"/>
                      <w:left w:val="nil"/>
                      <w:bottom w:val="single" w:sz="8" w:space="0" w:color="auto"/>
                      <w:right w:val="single" w:sz="8" w:space="0" w:color="auto"/>
                    </w:tcBorders>
                    <w:tcMar>
                      <w:top w:w="17" w:type="dxa"/>
                      <w:left w:w="17" w:type="dxa"/>
                      <w:bottom w:w="17" w:type="dxa"/>
                      <w:right w:w="17" w:type="dxa"/>
                    </w:tcMar>
                  </w:tcPr>
                  <w:p>
                    <w:pPr>
                      <w:suppressAutoHyphens/>
                      <w:jc w:val="center"/>
                      <w:rPr>
                        <w:bCs/>
                        <w:szCs w:val="24"/>
                        <w:lang w:eastAsia="lt-LT"/>
                      </w:rPr>
                    </w:pPr>
                    <w:r>
                      <w:rPr>
                        <w:bCs/>
                        <w:szCs w:val="24"/>
                        <w:lang w:eastAsia="lt-LT"/>
                      </w:rPr>
                      <w:t>57-123</w:t>
                    </w:r>
                  </w:p>
                </w:tc>
                <w:tc>
                  <w:tcPr>
                    <w:tcW w:w="4421" w:type="dxa"/>
                    <w:tcBorders>
                      <w:top w:val="single" w:sz="8" w:space="0" w:color="auto"/>
                      <w:left w:val="nil"/>
                      <w:bottom w:val="single" w:sz="8" w:space="0" w:color="auto"/>
                      <w:right w:val="single" w:sz="8" w:space="0" w:color="auto"/>
                    </w:tcBorders>
                    <w:tcMar>
                      <w:top w:w="17" w:type="dxa"/>
                      <w:left w:w="17" w:type="dxa"/>
                      <w:bottom w:w="17" w:type="dxa"/>
                      <w:right w:w="17" w:type="dxa"/>
                    </w:tcMar>
                  </w:tcPr>
                  <w:p>
                    <w:pPr>
                      <w:suppressAutoHyphens/>
                      <w:jc w:val="both"/>
                      <w:rPr>
                        <w:b/>
                        <w:bCs/>
                        <w:szCs w:val="24"/>
                        <w:lang w:eastAsia="lt-LT"/>
                      </w:rPr>
                    </w:pPr>
                    <w:r>
                      <w:rPr>
                        <w:color w:val="000000"/>
                        <w:szCs w:val="24"/>
                        <w:lang w:eastAsia="lt-LT"/>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plaukiojimo sezoną, suderinus savaeigių plaukiojimo </w:t>
                    </w:r>
                    <w:r>
                      <w:rPr>
                        <w:szCs w:val="24"/>
                        <w:lang w:eastAsia="lt-LT"/>
                      </w:rPr>
                      <w:t>priemonių</w:t>
                    </w:r>
                    <w:r>
                      <w:rPr>
                        <w:color w:val="000000"/>
                        <w:szCs w:val="24"/>
                        <w:lang w:eastAsia="lt-LT"/>
                      </w:rPr>
                      <w:t xml:space="preserve"> variklių galingumą, jų skaičių su Trakų istorinio nacionalinio parko direkcija (toliau – direkcija) ir Trakų rajono savivaldybės administracija (toliau –savivaldybės administracija). </w:t>
                    </w:r>
                    <w:r>
                      <w:rPr>
                        <w:color w:val="000000"/>
                        <w:lang w:eastAsia="lt-LT"/>
                      </w:rPr>
                      <w:t xml:space="preserve">Šiame ežere vykdomų buriavimo sporto renginių metu jų organizatoriai gali naudoti savaeiges plaukiojimo priemones saugumui užtikrinti visą plaukiojimo sezoną, plaukiant jomis ne mažesniu kaip 100 m atstumu nuo ežero kranto, suderinę renginio datą, </w:t>
                    </w:r>
                    <w:r>
                      <w:rPr>
                        <w:color w:val="000000"/>
                        <w:szCs w:val="24"/>
                        <w:lang w:eastAsia="lt-LT"/>
                      </w:rPr>
                      <w:t xml:space="preserve">savaeigių plaukiojimo priemonių </w:t>
                    </w:r>
                    <w:r>
                      <w:rPr>
                        <w:szCs w:val="24"/>
                        <w:lang w:eastAsia="lt-LT"/>
                      </w:rPr>
                      <w:t xml:space="preserve">variklių galingumą, jų </w:t>
                    </w:r>
                    <w:r>
                      <w:rPr>
                        <w:color w:val="000000"/>
                        <w:szCs w:val="24"/>
                        <w:lang w:eastAsia="lt-LT"/>
                      </w:rPr>
                      <w:t>skaičių su direkcija ir savivaldybės administracija.</w:t>
                    </w:r>
                    <w:r>
                      <w:rPr>
                        <w:color w:val="000000"/>
                        <w:lang w:eastAsia="lt-LT"/>
                      </w:rPr>
                      <w:t>“</w:t>
                    </w:r>
                  </w:p>
                </w:tc>
              </w:tr>
            </w:tbl>
            <w:p>
              <w:pPr>
                <w:suppressAutoHyphens/>
                <w:jc w:val="both"/>
                <w:rPr>
                  <w:lang w:eastAsia="lt-LT"/>
                </w:rPr>
              </w:pPr>
            </w:p>
            <w:p/>
            <w:p>
              <w:pPr>
                <w:suppressAutoHyphens/>
                <w:snapToGrid w:val="0"/>
                <w:rPr>
                  <w:color w:val="000000"/>
                  <w:szCs w:val="24"/>
                  <w:lang w:eastAsia="lt-LT"/>
                </w:rPr>
              </w:pPr>
            </w:p>
          </w:sdtContent>
        </w:sdt>
        <w:sdt>
          <w:sdtPr>
            <w:alias w:val="signatura"/>
            <w:tag w:val="part_d0458ddddcf64d45b50db09e8f23f3e1"/>
            <w:lock w:val="sdtLocked"/>
            <w:richText/>
          </w:sdtPr>
          <w:sdtContent>
            <w:p>
              <w:pPr>
                <w:tabs>
                  <w:tab w:val="left" w:pos="4825"/>
                </w:tabs>
                <w:suppressAutoHyphens/>
                <w:ind w:left="8" w:right="34"/>
                <w:rPr>
                  <w:lang w:eastAsia="lt-LT"/>
                </w:rPr>
              </w:pPr>
              <w:r>
                <w:rPr>
                  <w:lang w:eastAsia="lt-LT"/>
                </w:rPr>
                <w:t>Aplinkos ministras</w:t>
                <w:tab/>
                <w:t>Simonas Gentvilas</w:t>
              </w:r>
            </w:p>
          </w:sdtContent>
        </w:sdt>
      </w:sdtContent>
    </w:sdt>
    <w:sectPr>
      <w:headerReference w:type="even" r:id="rId11"/>
      <w:headerReference w:type="default" r:id="rId12"/>
      <w:footerReference w:type="even" r:id="rId13"/>
      <w:footerReference w:type="default" r:id="rId14"/>
      <w:headerReference w:type="first" r:id="rId15"/>
      <w:footerReference w:type="first" r:id="rId16"/>
      <w:footnotePr>
        <w:pos w:val="beneathText"/>
      </w:footnotePr>
      <w:type w:val="continuous"/>
      <w:pgSz w:w="11905" w:h="16837" w:code="9"/>
      <w:pgMar w:top="1134" w:right="567" w:bottom="1134" w:left="1701" w:header="567" w:footer="567"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p>
    <w:pPr>
      <w:tabs>
        <w:tab w:val="left" w:pos="3344"/>
        <w:tab w:val="left" w:pos="8291"/>
      </w:tabs>
      <w:suppressAutoHyphens/>
      <w:spacing w:before="120" w:after="60"/>
      <w:ind w:left="-17" w:firstLine="17"/>
      <w:jc w:val="center"/>
      <w:rPr>
        <w:b/>
        <w:bCs/>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03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pixelsPerInch w:val="120"/>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7" ma:contentTypeDescription="Create a new document." ma:contentTypeScope="" ma:versionID="dfa260df0f0754c7cdd5e1fea3294c4d">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c53f66fa47fc75971c38e0afd31ccded"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90af01d99da54e2086a396ea57104b27" PartId="5696c5bb9b964e69bd540a64716a28e9">
    <Part Type="preambule" DocPartId="923985be465544aca5abe127aeb93c06" PartId="7a799f9e57fe4f9aa766f9f23e3e5657"/>
    <Part Type="lentele" DocPartId="08aac4704d5a4c22afd516a10037e514" PartId="cb65e52743694cfa917a812a8604b195"/>
    <Part Type="signatura" DocPartId="6451f9220f234931a534685248d84943" PartId="d0458ddddcf64d45b50db09e8f23f3e1"/>
  </Part>
</Parts>
</file>

<file path=customXml/itemProps1.xml><?xml version="1.0" encoding="utf-8"?>
<ds:datastoreItem xmlns:ds="http://schemas.openxmlformats.org/officeDocument/2006/customXml" ds:itemID="{601FB198-41D3-4EC3-AFD9-2277C8B0E21D}">
  <ds:schemaRefs>
    <ds:schemaRef ds:uri="http://schemas.microsoft.com/sharepoint/v3/contenttype/forms"/>
  </ds:schemaRefs>
</ds:datastoreItem>
</file>

<file path=customXml/itemProps2.xml><?xml version="1.0" encoding="utf-8"?>
<ds:datastoreItem xmlns:ds="http://schemas.openxmlformats.org/officeDocument/2006/customXml" ds:itemID="{8A5B61D3-ED19-4DB2-8A8A-731F4A7F09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A71CDB-73C5-4841-972B-AF905D5930EA}">
  <ds:schemaRefs>
    <ds:schemaRef ds:uri="http://schemas.microsoft.com/office/2006/metadata/properties"/>
    <ds:schemaRef ds:uri="http://schemas.microsoft.com/office/infopath/2007/PartnerControls"/>
    <ds:schemaRef ds:uri="58c6f6df-7e1f-4a2e-8979-e3f4c92e56f2"/>
    <ds:schemaRef ds:uri="2ad30025-d0d5-4532-b26e-26983efa1e1c"/>
  </ds:schemaRefs>
</ds:datastoreItem>
</file>

<file path=customXml/itemProps4.xml><?xml version="1.0" encoding="utf-8"?>
<ds:datastoreItem xmlns:ds="http://schemas.openxmlformats.org/officeDocument/2006/customXml" ds:itemID="{949B4881-6F68-4BE5-A6DB-FF2E28B74D76}">
  <ds:schemaRefs>
    <ds:schemaRef ds:uri="http://schemas.openxmlformats.org/officeDocument/2006/bibliography"/>
  </ds:schemaRefs>
</ds:datastoreItem>
</file>

<file path=customXml/itemProps5.xml><?xml version="1.0" encoding="utf-8"?>
<ds:datastoreItem xmlns:ds="http://schemas.openxmlformats.org/officeDocument/2006/customXml" ds:itemID="{5E01274C-74DB-489B-A202-A0D3FCE141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233</Words>
  <Characters>1743</Characters>
  <Application>Microsoft Office Word</Application>
  <DocSecurity>4</DocSecurity>
  <Lines>58</Lines>
  <Paragraphs>15</Paragraphs>
  <ScaleCrop>false</ScaleCrop>
  <Company/>
  <LinksUpToDate>false</LinksUpToDate>
  <CharactersWithSpaces>1961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2023-06-06T10:53:00Z</dcterms:created>
  <dcterms:modified xsi:type="dcterms:W3CDTF">2023-06-06T10:53:00Z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ies>
</file>