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ecbd5434cc4403d9abfda071ebfdb55"/>
        <w:id w:val="1994754675"/>
        <w:lock w:val="sdtLocked"/>
      </w:sdtPr>
      <w:sdtEndPr/>
      <w:sdtContent>
        <w:bookmarkStart w:id="0" w:name="_GoBack" w:displacedByCustomXml="prev"/>
        <w:bookmarkEnd w:id="0" w:displacedByCustomXml="prev"/>
        <w:p w14:paraId="63493BE5" w14:textId="77777777" w:rsidR="001635FD" w:rsidRDefault="001635FD">
          <w:pPr>
            <w:tabs>
              <w:tab w:val="center" w:pos="4819"/>
              <w:tab w:val="right" w:pos="9638"/>
            </w:tabs>
            <w:rPr>
              <w:sz w:val="22"/>
              <w:szCs w:val="22"/>
            </w:rPr>
          </w:pPr>
        </w:p>
        <w:p w14:paraId="4709C533" w14:textId="3D0B3CD6" w:rsidR="001635FD" w:rsidRDefault="004A234A">
          <w:pPr>
            <w:jc w:val="center"/>
            <w:rPr>
              <w:b/>
              <w:bCs/>
              <w:color w:val="000000"/>
              <w:szCs w:val="24"/>
              <w:lang w:eastAsia="lt-LT"/>
            </w:rPr>
          </w:pPr>
          <w:r>
            <w:rPr>
              <w:b/>
              <w:bCs/>
              <w:noProof/>
              <w:color w:val="000000"/>
              <w:szCs w:val="24"/>
              <w:lang w:eastAsia="lt-LT"/>
            </w:rPr>
            <w:drawing>
              <wp:inline distT="0" distB="0" distL="0" distR="0" wp14:anchorId="4FF19B72" wp14:editId="2E563A67">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79913864" w14:textId="285103C1" w:rsidR="001635FD" w:rsidRDefault="004A234A">
          <w:pPr>
            <w:jc w:val="center"/>
            <w:rPr>
              <w:b/>
              <w:bCs/>
              <w:color w:val="000000"/>
              <w:szCs w:val="24"/>
              <w:lang w:eastAsia="lt-LT"/>
            </w:rPr>
          </w:pPr>
          <w:r>
            <w:rPr>
              <w:b/>
              <w:bCs/>
              <w:color w:val="000000"/>
              <w:szCs w:val="24"/>
              <w:lang w:eastAsia="lt-LT"/>
            </w:rPr>
            <w:t>VALSTYBINĖ ENERGETIKOS REGULIAVIMO TARYBA</w:t>
          </w:r>
        </w:p>
        <w:p w14:paraId="532D4AA4" w14:textId="77777777" w:rsidR="001635FD" w:rsidRDefault="001635FD">
          <w:pPr>
            <w:ind w:firstLine="720"/>
            <w:jc w:val="center"/>
            <w:rPr>
              <w:b/>
              <w:bCs/>
              <w:color w:val="000000"/>
              <w:szCs w:val="24"/>
              <w:lang w:eastAsia="lt-LT"/>
            </w:rPr>
          </w:pPr>
        </w:p>
        <w:p w14:paraId="0B95483A" w14:textId="77777777" w:rsidR="001635FD" w:rsidRDefault="004A234A">
          <w:pPr>
            <w:jc w:val="center"/>
            <w:rPr>
              <w:b/>
              <w:bCs/>
              <w:color w:val="000000"/>
              <w:szCs w:val="24"/>
              <w:lang w:eastAsia="lt-LT"/>
            </w:rPr>
          </w:pPr>
          <w:r>
            <w:rPr>
              <w:b/>
              <w:bCs/>
              <w:color w:val="000000"/>
              <w:szCs w:val="24"/>
              <w:lang w:eastAsia="lt-LT"/>
            </w:rPr>
            <w:t>NUTARIMAS</w:t>
          </w:r>
        </w:p>
        <w:p w14:paraId="72B64D4C" w14:textId="4AD588F9" w:rsidR="001635FD" w:rsidRDefault="004A234A">
          <w:pPr>
            <w:jc w:val="center"/>
            <w:rPr>
              <w:b/>
              <w:bCs/>
              <w:color w:val="000000"/>
              <w:szCs w:val="24"/>
              <w:lang w:eastAsia="lt-LT"/>
            </w:rPr>
          </w:pPr>
          <w:r>
            <w:rPr>
              <w:b/>
              <w:bCs/>
              <w:color w:val="000000"/>
              <w:szCs w:val="24"/>
              <w:lang w:eastAsia="lt-LT"/>
            </w:rPr>
            <w:t xml:space="preserve">DĖL </w:t>
          </w:r>
          <w:r>
            <w:rPr>
              <w:b/>
              <w:bCs/>
              <w:szCs w:val="24"/>
              <w:lang w:eastAsia="lt-LT"/>
            </w:rPr>
            <w:t>VALSTYBINĖS KAINŲ IR ENERGETIKOS KONTROLĖS KOMISIJOS</w:t>
          </w:r>
          <w:r>
            <w:rPr>
              <w:b/>
              <w:bCs/>
              <w:color w:val="000000"/>
              <w:szCs w:val="24"/>
              <w:lang w:eastAsia="lt-LT"/>
            </w:rPr>
            <w:t xml:space="preserve"> 2015 M. SAUSIO 15 D. NUTARIMO NR. O3-3 „DĖL ELEKTROS ENERGIJOS PERDAVIMO, SKIRSTYMO IR VISUOMENINIO TIEKIMO PASLAUGŲ BEI VISUOMENINĖS KAINOS VIRŠUTINĖS RIBOS NUSTATYMO METODIKOS PATVIRTINIMO“ PAKEITIMO</w:t>
          </w:r>
        </w:p>
        <w:p w14:paraId="2E3302E4" w14:textId="7602C09D" w:rsidR="001635FD" w:rsidRDefault="001635FD">
          <w:pPr>
            <w:ind w:firstLine="720"/>
            <w:jc w:val="center"/>
            <w:rPr>
              <w:b/>
              <w:bCs/>
              <w:color w:val="000000"/>
              <w:szCs w:val="24"/>
              <w:lang w:eastAsia="lt-LT"/>
            </w:rPr>
          </w:pPr>
        </w:p>
        <w:p w14:paraId="56C04E80" w14:textId="2ABBE357" w:rsidR="001635FD" w:rsidRDefault="004A234A">
          <w:pPr>
            <w:jc w:val="center"/>
            <w:rPr>
              <w:color w:val="000000"/>
              <w:szCs w:val="24"/>
              <w:lang w:eastAsia="lt-LT"/>
            </w:rPr>
          </w:pPr>
          <w:r>
            <w:rPr>
              <w:color w:val="000000"/>
              <w:szCs w:val="24"/>
              <w:lang w:eastAsia="lt-LT"/>
            </w:rPr>
            <w:t>2019 m. spalio 10</w:t>
          </w:r>
          <w:r>
            <w:rPr>
              <w:color w:val="000000"/>
              <w:szCs w:val="24"/>
              <w:lang w:eastAsia="lt-LT"/>
            </w:rPr>
            <w:t xml:space="preserve"> d. Nr. </w:t>
          </w:r>
          <w:r w:rsidRPr="004A234A">
            <w:rPr>
              <w:color w:val="000000"/>
              <w:szCs w:val="24"/>
              <w:lang w:eastAsia="lt-LT"/>
            </w:rPr>
            <w:t>O3E-548</w:t>
          </w:r>
        </w:p>
        <w:p w14:paraId="2A9061F0" w14:textId="77777777" w:rsidR="001635FD" w:rsidRDefault="004A234A">
          <w:pPr>
            <w:jc w:val="center"/>
            <w:rPr>
              <w:color w:val="000000"/>
              <w:szCs w:val="24"/>
              <w:lang w:eastAsia="lt-LT"/>
            </w:rPr>
          </w:pPr>
          <w:r>
            <w:rPr>
              <w:color w:val="000000"/>
              <w:szCs w:val="24"/>
              <w:lang w:eastAsia="lt-LT"/>
            </w:rPr>
            <w:t>Vilniu</w:t>
          </w:r>
          <w:r>
            <w:rPr>
              <w:color w:val="000000"/>
              <w:szCs w:val="24"/>
              <w:lang w:eastAsia="lt-LT"/>
            </w:rPr>
            <w:t>s</w:t>
          </w:r>
        </w:p>
        <w:p w14:paraId="0009FB13" w14:textId="77777777" w:rsidR="001635FD" w:rsidRDefault="001635FD">
          <w:pPr>
            <w:ind w:firstLine="720"/>
            <w:jc w:val="both"/>
            <w:rPr>
              <w:color w:val="000000"/>
              <w:szCs w:val="24"/>
              <w:lang w:eastAsia="lt-LT"/>
            </w:rPr>
          </w:pPr>
        </w:p>
        <w:p w14:paraId="674BD306" w14:textId="77777777" w:rsidR="004A234A" w:rsidRDefault="004A234A">
          <w:pPr>
            <w:ind w:firstLine="720"/>
            <w:jc w:val="both"/>
            <w:rPr>
              <w:color w:val="000000"/>
              <w:szCs w:val="24"/>
              <w:lang w:eastAsia="lt-LT"/>
            </w:rPr>
          </w:pPr>
        </w:p>
        <w:sdt>
          <w:sdtPr>
            <w:alias w:val="preambule"/>
            <w:tag w:val="part_3874bccbe6b84af89bde0c964eaba1a3"/>
            <w:id w:val="1592652053"/>
            <w:lock w:val="sdtLocked"/>
          </w:sdtPr>
          <w:sdtEndPr/>
          <w:sdtContent>
            <w:p w14:paraId="68B71508" w14:textId="47CA2784" w:rsidR="001635FD" w:rsidRDefault="004A234A">
              <w:pPr>
                <w:ind w:firstLine="720"/>
                <w:jc w:val="both"/>
                <w:rPr>
                  <w:color w:val="000000"/>
                  <w:szCs w:val="24"/>
                  <w:lang w:eastAsia="lt-LT"/>
                </w:rPr>
              </w:pPr>
              <w:r>
                <w:rPr>
                  <w:color w:val="000000"/>
                  <w:szCs w:val="22"/>
                </w:rPr>
                <w:t xml:space="preserve">Vadovaudamasi Lietuvos Respublikos energetikos įstatymo 8 straipsnio 11 dalies 2 punktu ir Lietuvos Respublikos elektros energetikos įstatymo 9 straipsnio 3 dalies 4 punktu bei </w:t>
              </w:r>
              <w:r>
                <w:rPr>
                  <w:color w:val="000000"/>
                  <w:szCs w:val="24"/>
                  <w:lang w:eastAsia="lt-LT"/>
                </w:rPr>
                <w:t>atsižvelgdama į Valstybinės energetikos reguliavimo tarybos (toliau – Taryba</w:t>
              </w:r>
              <w:r>
                <w:rPr>
                  <w:color w:val="000000"/>
                  <w:szCs w:val="24"/>
                  <w:lang w:eastAsia="lt-LT"/>
                </w:rPr>
                <w:t xml:space="preserve">) Dujų ir elektros departamento Elektros skyriaus 2019 m. spalio </w:t>
              </w:r>
              <w:r>
                <w:rPr>
                  <w:rFonts w:ascii="Arial" w:hAnsi="Arial" w:cs="Arial"/>
                  <w:sz w:val="20"/>
                </w:rPr>
                <w:t xml:space="preserve">4 </w:t>
              </w:r>
              <w:r>
                <w:rPr>
                  <w:color w:val="000000"/>
                  <w:szCs w:val="24"/>
                  <w:lang w:eastAsia="lt-LT"/>
                </w:rPr>
                <w:t xml:space="preserve">d. pažymą Nr. O5E-462 „Dėl Elektros energijos perdavimo, skirstymo ir visuomeninio tiekimo paslaugų bei visuomeninės kainos viršutinės ribos nustatymo metodikos pakeitimo“ Taryba n u t a r </w:t>
              </w:r>
              <w:r>
                <w:rPr>
                  <w:color w:val="000000"/>
                  <w:szCs w:val="24"/>
                  <w:lang w:eastAsia="lt-LT"/>
                </w:rPr>
                <w:t>i a:</w:t>
              </w:r>
            </w:p>
          </w:sdtContent>
        </w:sdt>
        <w:sdt>
          <w:sdtPr>
            <w:alias w:val="1 p."/>
            <w:tag w:val="part_58f87eb4c92e435681153c85702bf376"/>
            <w:id w:val="-953243907"/>
            <w:lock w:val="sdtLocked"/>
          </w:sdtPr>
          <w:sdtEndPr/>
          <w:sdtContent>
            <w:p w14:paraId="52AEC418" w14:textId="62EB6B5D" w:rsidR="001635FD" w:rsidRDefault="004A234A">
              <w:pPr>
                <w:ind w:firstLine="720"/>
                <w:jc w:val="both"/>
                <w:rPr>
                  <w:color w:val="000000"/>
                  <w:szCs w:val="24"/>
                  <w:lang w:eastAsia="lt-LT"/>
                </w:rPr>
              </w:pPr>
              <w:sdt>
                <w:sdtPr>
                  <w:alias w:val="Numeris"/>
                  <w:tag w:val="nr_58f87eb4c92e435681153c85702bf376"/>
                  <w:id w:val="544103021"/>
                  <w:lock w:val="sdtLocked"/>
                </w:sdtPr>
                <w:sdtEndPr/>
                <w:sdtContent>
                  <w:r>
                    <w:rPr>
                      <w:color w:val="000000"/>
                      <w:szCs w:val="24"/>
                      <w:lang w:eastAsia="lt-LT"/>
                    </w:rPr>
                    <w:t>1</w:t>
                  </w:r>
                </w:sdtContent>
              </w:sdt>
              <w:r>
                <w:rPr>
                  <w:color w:val="000000"/>
                  <w:szCs w:val="24"/>
                  <w:lang w:eastAsia="lt-LT"/>
                </w:rPr>
                <w:t xml:space="preserve">. Pakeisti Valstybinės kainų ir energetikos kontrolės komisijos 2015 m. sausio </w:t>
              </w:r>
              <w:r>
                <w:rPr>
                  <w:color w:val="000000"/>
                  <w:szCs w:val="24"/>
                  <w:lang w:eastAsia="lt-LT"/>
                </w:rPr>
                <w:t>15 d. nutarimu Nr. O3-3 „Dėl Elektros energijos perdavimo, skirstymo ir visuomeninio tiekimo paslaugų bei visuomeninės kainos viršutinės ribos nustatymo metodikos pat</w:t>
              </w:r>
              <w:r>
                <w:rPr>
                  <w:color w:val="000000"/>
                  <w:szCs w:val="24"/>
                  <w:lang w:eastAsia="lt-LT"/>
                </w:rPr>
                <w:t>virtinimo“ patvirtintą Elektros energijos perdavimo, skirstymo ir visuomeninio tiekimo paslaugų bei visuomeninės kainos viršutinės ribos nustatymo metodiką (toliau – Metodika):</w:t>
              </w:r>
            </w:p>
            <w:sdt>
              <w:sdtPr>
                <w:alias w:val="1.1 pp."/>
                <w:tag w:val="part_10c74b4387084742b8703629c48ce914"/>
                <w:id w:val="403733095"/>
                <w:lock w:val="sdtLocked"/>
              </w:sdtPr>
              <w:sdtEndPr/>
              <w:sdtContent>
                <w:p w14:paraId="1A1D7125" w14:textId="497DEAA0" w:rsidR="001635FD" w:rsidRDefault="004A234A">
                  <w:pPr>
                    <w:ind w:firstLine="720"/>
                    <w:jc w:val="both"/>
                    <w:rPr>
                      <w:color w:val="000000"/>
                      <w:szCs w:val="24"/>
                      <w:lang w:eastAsia="lt-LT"/>
                    </w:rPr>
                  </w:pPr>
                  <w:sdt>
                    <w:sdtPr>
                      <w:alias w:val="Numeris"/>
                      <w:tag w:val="nr_10c74b4387084742b8703629c48ce914"/>
                      <w:id w:val="1281531111"/>
                      <w:lock w:val="sdtLocked"/>
                    </w:sdtPr>
                    <w:sdtEndPr/>
                    <w:sdtContent>
                      <w:r>
                        <w:rPr>
                          <w:color w:val="000000"/>
                          <w:szCs w:val="24"/>
                          <w:lang w:eastAsia="lt-LT"/>
                        </w:rPr>
                        <w:t>1.1</w:t>
                      </w:r>
                    </w:sdtContent>
                  </w:sdt>
                  <w:r>
                    <w:rPr>
                      <w:color w:val="000000"/>
                      <w:szCs w:val="24"/>
                      <w:lang w:eastAsia="lt-LT"/>
                    </w:rPr>
                    <w:t>. Pakeisti Metodikos 3 punktą ir jį išdėstyti taip:</w:t>
                  </w:r>
                </w:p>
                <w:sdt>
                  <w:sdtPr>
                    <w:alias w:val="citata"/>
                    <w:tag w:val="part_36ba96af256b4e75a4e280b0348a57f6"/>
                    <w:id w:val="236677660"/>
                    <w:lock w:val="sdtLocked"/>
                  </w:sdtPr>
                  <w:sdtEndPr/>
                  <w:sdtContent>
                    <w:sdt>
                      <w:sdtPr>
                        <w:alias w:val="3 p."/>
                        <w:tag w:val="part_e66ef2b2e2f041b6978f58b6ba233e3e"/>
                        <w:id w:val="-373778769"/>
                        <w:lock w:val="sdtLocked"/>
                      </w:sdtPr>
                      <w:sdtEndPr/>
                      <w:sdtContent>
                        <w:p w14:paraId="3C4B4AE2" w14:textId="1D331916" w:rsidR="001635FD" w:rsidRDefault="004A234A">
                          <w:pPr>
                            <w:ind w:firstLine="720"/>
                            <w:jc w:val="both"/>
                            <w:rPr>
                              <w:color w:val="000000"/>
                              <w:szCs w:val="24"/>
                              <w:lang w:eastAsia="lt-LT"/>
                            </w:rPr>
                          </w:pPr>
                          <w:r>
                            <w:rPr>
                              <w:color w:val="000000"/>
                              <w:szCs w:val="24"/>
                              <w:lang w:eastAsia="lt-LT"/>
                            </w:rPr>
                            <w:t>„</w:t>
                          </w:r>
                          <w:sdt>
                            <w:sdtPr>
                              <w:alias w:val="Numeris"/>
                              <w:tag w:val="nr_e66ef2b2e2f041b6978f58b6ba233e3e"/>
                              <w:id w:val="-1673789302"/>
                              <w:lock w:val="sdtLocked"/>
                            </w:sdtPr>
                            <w:sdtEndPr/>
                            <w:sdtContent>
                              <w:r>
                                <w:rPr>
                                  <w:color w:val="000000"/>
                                  <w:szCs w:val="24"/>
                                  <w:lang w:eastAsia="lt-LT"/>
                                </w:rPr>
                                <w:t>3</w:t>
                              </w:r>
                            </w:sdtContent>
                          </w:sdt>
                          <w:r>
                            <w:rPr>
                              <w:color w:val="000000"/>
                              <w:szCs w:val="24"/>
                              <w:lang w:eastAsia="lt-LT"/>
                            </w:rPr>
                            <w:t>. Metodika parengt</w:t>
                          </w:r>
                          <w:r>
                            <w:rPr>
                              <w:color w:val="000000"/>
                              <w:szCs w:val="24"/>
                              <w:lang w:eastAsia="lt-LT"/>
                            </w:rPr>
                            <w:t>a vadovaujantis Lietuvos Respublikos energetikos įstatymu, Lietuvos Respublikos elektros energetikos įstatymu, Elektros energijos perdavimo sistemos operatoriaus teikiamų paslaugų ir elektros energijos skirstomųjų tinklų operatoriaus teikiamų paslaugų ilgo</w:t>
                          </w:r>
                          <w:r>
                            <w:rPr>
                              <w:color w:val="000000"/>
                              <w:szCs w:val="24"/>
                              <w:lang w:eastAsia="lt-LT"/>
                            </w:rPr>
                            <w:t xml:space="preserve"> laikotarpio vidutinių padidėjimo sąnaudų (LRAIC) apskaitos modelio formavimo metodinėmis gairėmis, patvirtintomis Valstybinės kainų ir energetikos kontrolės komisijos (toliau – Komisija ar Reguliuojančioji institucija) 2013 m. liepos 5 d. nutarimu Nr. O3-</w:t>
                          </w:r>
                          <w:r>
                            <w:rPr>
                              <w:color w:val="000000"/>
                              <w:szCs w:val="24"/>
                              <w:lang w:eastAsia="lt-LT"/>
                            </w:rPr>
                            <w:t>287 „Dėl Elektros energijos perdavimo sistemos operatoriaus teikiamų paslaugų ir elektros energijos skirstomųjų tinklų operatoriaus teikiamų paslaugų ilgo laikotarpio vidutinių padidėjimo sąnaudų (LRAIC) apskaitos modelio formavimo metodinių gairių“, Elekt</w:t>
                          </w:r>
                          <w:r>
                            <w:rPr>
                              <w:color w:val="000000"/>
                              <w:szCs w:val="24"/>
                              <w:lang w:eastAsia="lt-LT"/>
                            </w:rPr>
                            <w:t xml:space="preserve">ros energijos perdavimo sistemos operatoriaus teikiamų paslaugų ir elektros energijos skirstomųjų tinklų operatoriaus teikiamų paslaugų ilgo laikotarpio vidutinių padidėjimo sąnaudų (LRAIC) techninio-technologinio ir ekonominio modelio tinkluose gairėmis, </w:t>
                          </w:r>
                          <w:r>
                            <w:rPr>
                              <w:color w:val="000000"/>
                              <w:szCs w:val="24"/>
                              <w:lang w:eastAsia="lt-LT"/>
                            </w:rPr>
                            <w:t>patvirtintomis Komisijos 2013 m. gruodžio 27 d. nutarimu Nr. O3-755 „Dėl Elektros energijos perdavimo sistemos operatoriaus teikiamų paslaugų ir elektros energijos skirstomųjų tinklų operatoriaus teikiamų paslaugų ilgo laikotarpio vidutinių padidėjimo sąna</w:t>
                          </w:r>
                          <w:r>
                            <w:rPr>
                              <w:color w:val="000000"/>
                              <w:szCs w:val="24"/>
                              <w:lang w:eastAsia="lt-LT"/>
                            </w:rPr>
                            <w:t>udų (LRAIC) techninio-technologinio ir ekonominio modelio tinkluose gairių ir LRAIC modelio“, Lietuvos Respublikos Vyriausybės nutarimais, kitais Lietuvos Respublikos ir Europos Sąjungos teisės aktų reikalavimais.“</w:t>
                          </w:r>
                        </w:p>
                      </w:sdtContent>
                    </w:sdt>
                  </w:sdtContent>
                </w:sdt>
              </w:sdtContent>
            </w:sdt>
            <w:sdt>
              <w:sdtPr>
                <w:alias w:val="1.2 pp."/>
                <w:tag w:val="part_f6d129f6ab26406da2baad510c6ff0f3"/>
                <w:id w:val="-157386757"/>
                <w:lock w:val="sdtLocked"/>
              </w:sdtPr>
              <w:sdtEndPr/>
              <w:sdtContent>
                <w:p w14:paraId="36A327C1" w14:textId="52C26D82" w:rsidR="001635FD" w:rsidRDefault="004A234A">
                  <w:pPr>
                    <w:ind w:firstLine="720"/>
                    <w:jc w:val="both"/>
                    <w:rPr>
                      <w:color w:val="000000"/>
                      <w:szCs w:val="24"/>
                      <w:lang w:eastAsia="lt-LT"/>
                    </w:rPr>
                  </w:pPr>
                  <w:sdt>
                    <w:sdtPr>
                      <w:alias w:val="Numeris"/>
                      <w:tag w:val="nr_f6d129f6ab26406da2baad510c6ff0f3"/>
                      <w:id w:val="422148309"/>
                      <w:lock w:val="sdtLocked"/>
                    </w:sdtPr>
                    <w:sdtEndPr/>
                    <w:sdtContent>
                      <w:r>
                        <w:rPr>
                          <w:color w:val="000000"/>
                          <w:szCs w:val="24"/>
                          <w:lang w:eastAsia="lt-LT"/>
                        </w:rPr>
                        <w:t>1.2</w:t>
                      </w:r>
                    </w:sdtContent>
                  </w:sdt>
                  <w:r>
                    <w:rPr>
                      <w:color w:val="000000"/>
                      <w:szCs w:val="24"/>
                      <w:lang w:eastAsia="lt-LT"/>
                    </w:rPr>
                    <w:t>. Papildyti Metodiką 8.6 papun</w:t>
                  </w:r>
                  <w:r>
                    <w:rPr>
                      <w:color w:val="000000"/>
                      <w:szCs w:val="24"/>
                      <w:lang w:eastAsia="lt-LT"/>
                    </w:rPr>
                    <w:t>kčiu ir jį išdėstyti taip:</w:t>
                  </w:r>
                </w:p>
                <w:sdt>
                  <w:sdtPr>
                    <w:alias w:val="citata"/>
                    <w:tag w:val="part_5dc15e432a3048acbd1088ab83eb0512"/>
                    <w:id w:val="882289498"/>
                    <w:lock w:val="sdtLocked"/>
                  </w:sdtPr>
                  <w:sdtEndPr/>
                  <w:sdtContent>
                    <w:sdt>
                      <w:sdtPr>
                        <w:alias w:val="8.6 pp."/>
                        <w:tag w:val="part_ee95d92cad104c788fda6034305947f9"/>
                        <w:id w:val="-1788422802"/>
                        <w:lock w:val="sdtLocked"/>
                      </w:sdtPr>
                      <w:sdtEndPr/>
                      <w:sdtContent>
                        <w:p w14:paraId="45D2C89F" w14:textId="2EAA741A" w:rsidR="001635FD" w:rsidRDefault="004A234A">
                          <w:pPr>
                            <w:ind w:firstLine="720"/>
                            <w:jc w:val="both"/>
                            <w:rPr>
                              <w:szCs w:val="24"/>
                            </w:rPr>
                          </w:pPr>
                          <w:r>
                            <w:rPr>
                              <w:color w:val="000000"/>
                              <w:szCs w:val="24"/>
                              <w:lang w:eastAsia="lt-LT"/>
                            </w:rPr>
                            <w:t>„</w:t>
                          </w:r>
                          <w:sdt>
                            <w:sdtPr>
                              <w:alias w:val="Numeris"/>
                              <w:tag w:val="nr_ee95d92cad104c788fda6034305947f9"/>
                              <w:id w:val="-824976089"/>
                              <w:lock w:val="sdtLocked"/>
                            </w:sdtPr>
                            <w:sdtEndPr/>
                            <w:sdtContent>
                              <w:r>
                                <w:rPr>
                                  <w:color w:val="000000"/>
                                  <w:szCs w:val="24"/>
                                  <w:lang w:eastAsia="lt-LT"/>
                                </w:rPr>
                                <w:t>8.6</w:t>
                              </w:r>
                            </w:sdtContent>
                          </w:sdt>
                          <w:r>
                            <w:rPr>
                              <w:color w:val="000000"/>
                              <w:szCs w:val="24"/>
                              <w:lang w:eastAsia="lt-LT"/>
                            </w:rPr>
                            <w:t>. Elektros energetikos sistemos sinchronizacijos projekto ir kitų elektros energetikos infrastruktūros bendro intereso projektų parengimo ir įgyvendinimo sąnaudos</w:t>
                          </w:r>
                          <w:r>
                            <w:rPr>
                              <w:szCs w:val="24"/>
                            </w:rPr>
                            <w:t xml:space="preserve">, kurios negali būti </w:t>
                          </w:r>
                          <w:r>
                            <w:rPr>
                              <w:szCs w:val="24"/>
                            </w:rPr>
                            <w:lastRenderedPageBreak/>
                            <w:t>priskirtos konkrečiam investicijų projek</w:t>
                          </w:r>
                          <w:r>
                            <w:rPr>
                              <w:szCs w:val="24"/>
                            </w:rPr>
                            <w:t>tui (įtrauktos į ilgalaikio turto įsigijimo (pasigaminimo) savikainą), įvertinamos apskaičiuojant būtinųjų metinių operacinių kaštų dydį.“</w:t>
                          </w:r>
                        </w:p>
                      </w:sdtContent>
                    </w:sdt>
                  </w:sdtContent>
                </w:sdt>
              </w:sdtContent>
            </w:sdt>
            <w:sdt>
              <w:sdtPr>
                <w:alias w:val="1.3 pp."/>
                <w:tag w:val="part_876cd29d715845ca867bc08dd2dd3ca3"/>
                <w:id w:val="1949887301"/>
                <w:lock w:val="sdtLocked"/>
              </w:sdtPr>
              <w:sdtEndPr/>
              <w:sdtContent>
                <w:p w14:paraId="61990CA1" w14:textId="594052A2" w:rsidR="001635FD" w:rsidRDefault="004A234A">
                  <w:pPr>
                    <w:tabs>
                      <w:tab w:val="left" w:pos="6015"/>
                    </w:tabs>
                    <w:ind w:firstLine="720"/>
                    <w:jc w:val="both"/>
                    <w:rPr>
                      <w:color w:val="000000"/>
                      <w:szCs w:val="24"/>
                      <w:lang w:eastAsia="lt-LT"/>
                    </w:rPr>
                  </w:pPr>
                  <w:sdt>
                    <w:sdtPr>
                      <w:alias w:val="Numeris"/>
                      <w:tag w:val="nr_876cd29d715845ca867bc08dd2dd3ca3"/>
                      <w:id w:val="1071618246"/>
                      <w:lock w:val="sdtLocked"/>
                    </w:sdtPr>
                    <w:sdtEndPr/>
                    <w:sdtContent>
                      <w:r>
                        <w:rPr>
                          <w:color w:val="000000"/>
                          <w:szCs w:val="24"/>
                          <w:lang w:eastAsia="lt-LT"/>
                        </w:rPr>
                        <w:t>1.3</w:t>
                      </w:r>
                    </w:sdtContent>
                  </w:sdt>
                  <w:r>
                    <w:rPr>
                      <w:color w:val="000000"/>
                      <w:szCs w:val="24"/>
                      <w:lang w:eastAsia="lt-LT"/>
                    </w:rPr>
                    <w:t>. Papildyti Metodiką 18</w:t>
                  </w:r>
                  <w:r>
                    <w:rPr>
                      <w:color w:val="000000"/>
                      <w:szCs w:val="24"/>
                      <w:vertAlign w:val="superscript"/>
                      <w:lang w:eastAsia="lt-LT"/>
                    </w:rPr>
                    <w:t>1</w:t>
                  </w:r>
                  <w:r>
                    <w:rPr>
                      <w:color w:val="000000"/>
                      <w:szCs w:val="24"/>
                      <w:lang w:eastAsia="lt-LT"/>
                    </w:rPr>
                    <w:t xml:space="preserve"> punktu ir jį išdėstyti taip:</w:t>
                  </w:r>
                </w:p>
                <w:sdt>
                  <w:sdtPr>
                    <w:alias w:val="citata"/>
                    <w:tag w:val="part_4013b800f6d0476fa4e5e32c8932e41b"/>
                    <w:id w:val="-2042894811"/>
                    <w:lock w:val="sdtLocked"/>
                  </w:sdtPr>
                  <w:sdtEndPr/>
                  <w:sdtContent>
                    <w:sdt>
                      <w:sdtPr>
                        <w:alias w:val="18-1 p."/>
                        <w:tag w:val="part_82969594968643d2ada4c9925c6ffa6c"/>
                        <w:id w:val="520977769"/>
                        <w:lock w:val="sdtLocked"/>
                      </w:sdtPr>
                      <w:sdtEndPr/>
                      <w:sdtContent>
                        <w:p w14:paraId="47866D7B" w14:textId="2219ABD1" w:rsidR="001635FD" w:rsidRDefault="004A234A">
                          <w:pPr>
                            <w:ind w:firstLine="720"/>
                            <w:jc w:val="both"/>
                            <w:rPr>
                              <w:color w:val="000000"/>
                              <w:szCs w:val="24"/>
                              <w:lang w:eastAsia="lt-LT"/>
                            </w:rPr>
                          </w:pPr>
                          <w:r>
                            <w:rPr>
                              <w:color w:val="000000"/>
                              <w:szCs w:val="24"/>
                              <w:lang w:eastAsia="lt-LT"/>
                            </w:rPr>
                            <w:t>„</w:t>
                          </w:r>
                          <w:sdt>
                            <w:sdtPr>
                              <w:alias w:val="Numeris"/>
                              <w:tag w:val="nr_82969594968643d2ada4c9925c6ffa6c"/>
                              <w:id w:val="1409504905"/>
                              <w:lock w:val="sdtLocked"/>
                            </w:sdtPr>
                            <w:sdtEnd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 xml:space="preserve">Reguliuojančiosios institucijos motyvuotu </w:t>
                          </w:r>
                          <w:r>
                            <w:rPr>
                              <w:bCs/>
                              <w:color w:val="000000"/>
                              <w:szCs w:val="24"/>
                              <w:lang w:eastAsia="lt-LT"/>
                            </w:rPr>
                            <w:t>sprendimu elektros energijos skirstymo paslaugų VĮ ir ŽĮ tinkluose kainų viršutinės ribos gali būti koreguojamos skirtumu tarp skirstymo tinklų operatoriaus garantiniam elektros energijos tiekimui vykdyti patirtų kaštų ir iš garantinio elektros energijos t</w:t>
                          </w:r>
                          <w:r>
                            <w:rPr>
                              <w:bCs/>
                              <w:color w:val="000000"/>
                              <w:szCs w:val="24"/>
                              <w:lang w:eastAsia="lt-LT"/>
                            </w:rPr>
                            <w:t>iekimo gautų pajamų, atsižvelgiant į tai, kurios įtampos tinkluose yra patiriami garantinio tiekimo paslaugos kaštai ir gaunamos garantinio tiekimo paslaugos pajamos.</w:t>
                          </w:r>
                          <w:r>
                            <w:rPr>
                              <w:color w:val="000000"/>
                              <w:szCs w:val="24"/>
                              <w:lang w:eastAsia="lt-LT"/>
                            </w:rPr>
                            <w:t>“</w:t>
                          </w:r>
                        </w:p>
                      </w:sdtContent>
                    </w:sdt>
                  </w:sdtContent>
                </w:sdt>
              </w:sdtContent>
            </w:sdt>
            <w:sdt>
              <w:sdtPr>
                <w:alias w:val="1.4 pp."/>
                <w:tag w:val="part_05882849005749fe83e9bbe4a8d1b75f"/>
                <w:id w:val="2039699851"/>
                <w:lock w:val="sdtLocked"/>
              </w:sdtPr>
              <w:sdtEndPr/>
              <w:sdtContent>
                <w:p w14:paraId="70AB6AB0" w14:textId="7C5F79A1" w:rsidR="001635FD" w:rsidRDefault="004A234A">
                  <w:pPr>
                    <w:ind w:firstLine="720"/>
                    <w:jc w:val="both"/>
                    <w:rPr>
                      <w:color w:val="000000"/>
                      <w:szCs w:val="24"/>
                      <w:lang w:eastAsia="lt-LT"/>
                    </w:rPr>
                  </w:pPr>
                  <w:sdt>
                    <w:sdtPr>
                      <w:alias w:val="Numeris"/>
                      <w:tag w:val="nr_05882849005749fe83e9bbe4a8d1b75f"/>
                      <w:id w:val="851144655"/>
                      <w:lock w:val="sdtLocked"/>
                    </w:sdtPr>
                    <w:sdtEndPr/>
                    <w:sdtContent>
                      <w:r>
                        <w:rPr>
                          <w:color w:val="000000"/>
                          <w:szCs w:val="24"/>
                          <w:lang w:eastAsia="lt-LT"/>
                        </w:rPr>
                        <w:t>1.4</w:t>
                      </w:r>
                    </w:sdtContent>
                  </w:sdt>
                  <w:r>
                    <w:rPr>
                      <w:color w:val="000000"/>
                      <w:szCs w:val="24"/>
                      <w:lang w:eastAsia="lt-LT"/>
                    </w:rPr>
                    <w:t xml:space="preserve">. Pakeisti Metodikos 20.2.2 papunktį ir jį išdėstyti taip: </w:t>
                  </w:r>
                </w:p>
                <w:sdt>
                  <w:sdtPr>
                    <w:alias w:val="citata"/>
                    <w:tag w:val="part_374fac4c6abd4b368db27dbeb33ed1fc"/>
                    <w:id w:val="730505549"/>
                    <w:lock w:val="sdtLocked"/>
                  </w:sdtPr>
                  <w:sdtEndPr/>
                  <w:sdtContent>
                    <w:sdt>
                      <w:sdtPr>
                        <w:alias w:val="20.2.2 pp."/>
                        <w:tag w:val="part_d7918959c9d645fe99bf4a4d8bdd0321"/>
                        <w:id w:val="-1392803925"/>
                        <w:lock w:val="sdtLocked"/>
                      </w:sdtPr>
                      <w:sdtEndPr/>
                      <w:sdtContent>
                        <w:p w14:paraId="7B28CF1B" w14:textId="0C6A1653" w:rsidR="001635FD" w:rsidRDefault="004A234A">
                          <w:pPr>
                            <w:ind w:firstLine="720"/>
                            <w:jc w:val="both"/>
                            <w:rPr>
                              <w:color w:val="000000"/>
                              <w:szCs w:val="24"/>
                              <w:lang w:eastAsia="lt-LT"/>
                            </w:rPr>
                          </w:pPr>
                          <w:r>
                            <w:rPr>
                              <w:szCs w:val="24"/>
                              <w:lang w:eastAsia="lt-LT"/>
                            </w:rPr>
                            <w:t>„</w:t>
                          </w:r>
                          <w:sdt>
                            <w:sdtPr>
                              <w:alias w:val="Numeris"/>
                              <w:tag w:val="nr_d7918959c9d645fe99bf4a4d8bdd0321"/>
                              <w:id w:val="-1484301453"/>
                              <w:lock w:val="sdtLocked"/>
                            </w:sdtPr>
                            <w:sdtEndPr/>
                            <w:sdtContent>
                              <w:r>
                                <w:rPr>
                                  <w:szCs w:val="24"/>
                                  <w:lang w:eastAsia="lt-LT"/>
                                </w:rPr>
                                <w:t>20.2.2</w:t>
                              </w:r>
                            </w:sdtContent>
                          </w:sdt>
                          <w:r>
                            <w:rPr>
                              <w:szCs w:val="24"/>
                              <w:lang w:eastAsia="lt-LT"/>
                            </w:rPr>
                            <w:t>. visuom</w:t>
                          </w:r>
                          <w:r>
                            <w:rPr>
                              <w:szCs w:val="24"/>
                              <w:lang w:eastAsia="lt-LT"/>
                            </w:rPr>
                            <w:t>eninio tiekimo paslaugos teikimo atveju reguliuojamo turto bazę sudaro ilgalaikio turto vertė, apskaičiuota</w:t>
                          </w:r>
                          <w:r>
                            <w:rPr>
                              <w:b/>
                              <w:bCs/>
                              <w:szCs w:val="24"/>
                              <w:lang w:eastAsia="lt-LT"/>
                            </w:rPr>
                            <w:t xml:space="preserve"> </w:t>
                          </w:r>
                          <w:r>
                            <w:rPr>
                              <w:szCs w:val="24"/>
                              <w:lang w:eastAsia="lt-LT"/>
                            </w:rPr>
                            <w:t>Metodikos 20.2.1 punkte nustatyta tvarka, ir apyvartinio kapitalo, reikalingo visuomeninio tiekimo veiklai, apimtis, kuri apskaičiuojama buitinių va</w:t>
                          </w:r>
                          <w:r>
                            <w:rPr>
                              <w:szCs w:val="24"/>
                              <w:lang w:eastAsia="lt-LT"/>
                            </w:rPr>
                            <w:t xml:space="preserve">rtotojų vidutinį atsiskaitymo terminą po sąskaitos išrašymo dienos, kuris lygus 40 dienų, padauginus iš </w:t>
                          </w:r>
                          <w:r>
                            <w:rPr>
                              <w:i/>
                              <w:iCs/>
                              <w:szCs w:val="24"/>
                              <w:lang w:eastAsia="lt-LT"/>
                            </w:rPr>
                            <w:t>t</w:t>
                          </w:r>
                          <w:r>
                            <w:rPr>
                              <w:szCs w:val="24"/>
                              <w:lang w:eastAsia="lt-LT"/>
                            </w:rPr>
                            <w:t xml:space="preserve">-2 metų </w:t>
                          </w:r>
                          <w:r>
                            <w:rPr>
                              <w:color w:val="000000"/>
                              <w:szCs w:val="24"/>
                              <w:lang w:eastAsia="lt-LT"/>
                            </w:rPr>
                            <w:t>vidutinių vienos dienos visuomeninio tiekėjo paskirstomųjų sąnaudų, kurios nustatomos atsižvelgiant</w:t>
                          </w:r>
                          <w:r>
                            <w:rPr>
                              <w:szCs w:val="24"/>
                              <w:lang w:eastAsia="lt-LT"/>
                            </w:rPr>
                            <w:t xml:space="preserve"> į iš gamintojų, tiekėjų, biržoje, balansavi</w:t>
                          </w:r>
                          <w:r>
                            <w:rPr>
                              <w:szCs w:val="24"/>
                              <w:lang w:eastAsia="lt-LT"/>
                            </w:rPr>
                            <w:t>mo rinkoje įsigytos elektros energijos ir persiuntimo paslaugų kaštų vertę (įskaitant viešuosius interesus atitinkančių paslaugų (toliau – VIAP) ir sisteminių paslaugų kainą) bei visuomeninio tiekimo paslaugos kaštus. Kai vykdant visuomeninio tiekimo veikl</w:t>
                          </w:r>
                          <w:r>
                            <w:rPr>
                              <w:szCs w:val="24"/>
                              <w:lang w:eastAsia="lt-LT"/>
                            </w:rPr>
                            <w:t xml:space="preserve">ą per praėjusius laikotarpius susidaręs skirtumas </w:t>
                          </w:r>
                          <w:r>
                            <w:rPr>
                              <w:color w:val="000000"/>
                              <w:szCs w:val="24"/>
                              <w:lang w:eastAsia="lt-LT"/>
                            </w:rPr>
                            <w:t xml:space="preserve">tarp faktinės ir prognozuojamos elektros energijos įsigijimo kainos yra teigiamas ir jis nebuvo kompensuotas </w:t>
                          </w:r>
                          <w:r>
                            <w:rPr>
                              <w:i/>
                              <w:iCs/>
                              <w:color w:val="000000"/>
                              <w:szCs w:val="24"/>
                              <w:lang w:eastAsia="lt-LT"/>
                            </w:rPr>
                            <w:t xml:space="preserve">t </w:t>
                          </w:r>
                          <w:r>
                            <w:rPr>
                              <w:color w:val="000000"/>
                              <w:szCs w:val="24"/>
                              <w:lang w:eastAsia="lt-LT"/>
                            </w:rPr>
                            <w:t>metais ar ankstesniais metais,</w:t>
                          </w:r>
                          <w:r>
                            <w:rPr>
                              <w:szCs w:val="24"/>
                              <w:lang w:eastAsia="lt-LT"/>
                            </w:rPr>
                            <w:t xml:space="preserve"> tai šis skirtumas </w:t>
                          </w:r>
                          <w:r>
                            <w:rPr>
                              <w:color w:val="000000"/>
                              <w:szCs w:val="24"/>
                              <w:lang w:eastAsia="lt-LT"/>
                            </w:rPr>
                            <w:t>yra įvertinamas nustatant visuomeninio tiekimo</w:t>
                          </w:r>
                          <w:r>
                            <w:rPr>
                              <w:color w:val="000000"/>
                              <w:szCs w:val="24"/>
                              <w:lang w:eastAsia="lt-LT"/>
                            </w:rPr>
                            <w:t xml:space="preserve"> veiklos apyvartinio kapitalo apimtį </w:t>
                          </w:r>
                          <w:r>
                            <w:rPr>
                              <w:i/>
                              <w:iCs/>
                              <w:color w:val="000000"/>
                              <w:szCs w:val="24"/>
                              <w:lang w:eastAsia="lt-LT"/>
                            </w:rPr>
                            <w:t xml:space="preserve">t </w:t>
                          </w:r>
                          <w:r>
                            <w:rPr>
                              <w:color w:val="000000"/>
                              <w:szCs w:val="24"/>
                              <w:lang w:eastAsia="lt-LT"/>
                            </w:rPr>
                            <w:t>metais.</w:t>
                          </w:r>
                          <w:r>
                            <w:rPr>
                              <w:szCs w:val="24"/>
                              <w:lang w:eastAsia="lt-LT"/>
                            </w:rPr>
                            <w:t>“</w:t>
                          </w:r>
                        </w:p>
                      </w:sdtContent>
                    </w:sdt>
                  </w:sdtContent>
                </w:sdt>
              </w:sdtContent>
            </w:sdt>
            <w:sdt>
              <w:sdtPr>
                <w:alias w:val="1.5 pp."/>
                <w:tag w:val="part_5af6d0985f494e55aa0f678f7a08101b"/>
                <w:id w:val="-1494088035"/>
                <w:lock w:val="sdtLocked"/>
              </w:sdtPr>
              <w:sdtEndPr/>
              <w:sdtContent>
                <w:p w14:paraId="1823A977" w14:textId="6EF798A6" w:rsidR="001635FD" w:rsidRDefault="004A234A">
                  <w:pPr>
                    <w:ind w:firstLine="720"/>
                    <w:jc w:val="both"/>
                    <w:rPr>
                      <w:color w:val="000000"/>
                      <w:szCs w:val="24"/>
                      <w:lang w:eastAsia="lt-LT"/>
                    </w:rPr>
                  </w:pPr>
                  <w:sdt>
                    <w:sdtPr>
                      <w:alias w:val="Numeris"/>
                      <w:tag w:val="nr_5af6d0985f494e55aa0f678f7a08101b"/>
                      <w:id w:val="-2045056021"/>
                      <w:lock w:val="sdtLocked"/>
                    </w:sdtPr>
                    <w:sdtEndPr/>
                    <w:sdtContent>
                      <w:r>
                        <w:rPr>
                          <w:color w:val="000000"/>
                          <w:szCs w:val="24"/>
                          <w:lang w:eastAsia="lt-LT"/>
                        </w:rPr>
                        <w:t>1.5</w:t>
                      </w:r>
                    </w:sdtContent>
                  </w:sdt>
                  <w:r>
                    <w:rPr>
                      <w:color w:val="000000"/>
                      <w:szCs w:val="24"/>
                      <w:lang w:eastAsia="lt-LT"/>
                    </w:rPr>
                    <w:t>. Papildyti Metodiką 31</w:t>
                  </w:r>
                  <w:r>
                    <w:rPr>
                      <w:color w:val="000000"/>
                      <w:szCs w:val="24"/>
                      <w:vertAlign w:val="superscript"/>
                      <w:lang w:eastAsia="lt-LT"/>
                    </w:rPr>
                    <w:t>1</w:t>
                  </w:r>
                  <w:r>
                    <w:rPr>
                      <w:color w:val="000000"/>
                      <w:szCs w:val="24"/>
                      <w:lang w:eastAsia="lt-LT"/>
                    </w:rPr>
                    <w:t xml:space="preserve"> punktu ir jį išdėstyti taip:</w:t>
                  </w:r>
                </w:p>
                <w:sdt>
                  <w:sdtPr>
                    <w:alias w:val="citata"/>
                    <w:tag w:val="part_36e08c4e05d6402cbf950391ae455a2a"/>
                    <w:id w:val="1318617027"/>
                    <w:lock w:val="sdtLocked"/>
                  </w:sdtPr>
                  <w:sdtEndPr/>
                  <w:sdtContent>
                    <w:sdt>
                      <w:sdtPr>
                        <w:alias w:val="31-1 p."/>
                        <w:tag w:val="part_b504e8e5c0be474a935a7d41d699a1de"/>
                        <w:id w:val="1537701830"/>
                        <w:lock w:val="sdtLocked"/>
                      </w:sdtPr>
                      <w:sdtEndPr/>
                      <w:sdtContent>
                        <w:p w14:paraId="6F6F5A5D" w14:textId="5715830D" w:rsidR="001635FD" w:rsidRDefault="004A234A">
                          <w:pPr>
                            <w:ind w:firstLine="720"/>
                            <w:jc w:val="both"/>
                            <w:rPr>
                              <w:color w:val="000000"/>
                              <w:szCs w:val="24"/>
                              <w:lang w:eastAsia="lt-LT"/>
                            </w:rPr>
                          </w:pPr>
                          <w:r>
                            <w:rPr>
                              <w:color w:val="000000"/>
                              <w:szCs w:val="24"/>
                              <w:lang w:eastAsia="lt-LT"/>
                            </w:rPr>
                            <w:t>„</w:t>
                          </w:r>
                          <w:sdt>
                            <w:sdtPr>
                              <w:alias w:val="Numeris"/>
                              <w:tag w:val="nr_b504e8e5c0be474a935a7d41d699a1de"/>
                              <w:id w:val="289712828"/>
                              <w:lock w:val="sdtLocked"/>
                            </w:sdtPr>
                            <w:sdtEnd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w:t>
                          </w:r>
                          <w:r>
                            <w:rPr>
                              <w:bCs/>
                              <w:color w:val="000000"/>
                              <w:szCs w:val="24"/>
                              <w:lang w:eastAsia="lt-LT"/>
                            </w:rPr>
                            <w:t xml:space="preserve">li būti koreguojamos skirtumu tarp skirstymo tinklų operatoriaus garantiniam elektros energijos tiekimui vykdyti patirtų kaštų ir iš garantinio elektros energijos tiekimo gautų pajamų, atsižvelgiant į tai, kurios įtampos tinkluose yra patiriami garantinio </w:t>
                          </w:r>
                          <w:r>
                            <w:rPr>
                              <w:bCs/>
                              <w:color w:val="000000"/>
                              <w:szCs w:val="24"/>
                              <w:lang w:eastAsia="lt-LT"/>
                            </w:rPr>
                            <w:t>elektros energijos tiekimo paslaugos kaštai ir gaunamos garantinio elektros energijos tiekimo paslaugos pajamos.“</w:t>
                          </w:r>
                        </w:p>
                      </w:sdtContent>
                    </w:sdt>
                  </w:sdtContent>
                </w:sdt>
              </w:sdtContent>
            </w:sdt>
            <w:sdt>
              <w:sdtPr>
                <w:alias w:val="1.6 pp."/>
                <w:tag w:val="part_100ce26c069e426f8785cce539e99dc9"/>
                <w:id w:val="-755517862"/>
                <w:lock w:val="sdtLocked"/>
              </w:sdtPr>
              <w:sdtEndPr/>
              <w:sdtContent>
                <w:p w14:paraId="1A31253A" w14:textId="4186D09C" w:rsidR="001635FD" w:rsidRDefault="004A234A">
                  <w:pPr>
                    <w:ind w:firstLine="720"/>
                    <w:jc w:val="both"/>
                    <w:rPr>
                      <w:color w:val="000000"/>
                      <w:szCs w:val="24"/>
                      <w:lang w:eastAsia="lt-LT"/>
                    </w:rPr>
                  </w:pPr>
                  <w:sdt>
                    <w:sdtPr>
                      <w:alias w:val="Numeris"/>
                      <w:tag w:val="nr_100ce26c069e426f8785cce539e99dc9"/>
                      <w:id w:val="282315108"/>
                      <w:lock w:val="sdtLocked"/>
                    </w:sdtPr>
                    <w:sdtEndPr/>
                    <w:sdtContent>
                      <w:r>
                        <w:rPr>
                          <w:color w:val="000000"/>
                          <w:szCs w:val="24"/>
                          <w:lang w:eastAsia="lt-LT"/>
                        </w:rPr>
                        <w:t>1.6</w:t>
                      </w:r>
                    </w:sdtContent>
                  </w:sdt>
                  <w:r>
                    <w:rPr>
                      <w:color w:val="000000"/>
                      <w:szCs w:val="24"/>
                      <w:lang w:eastAsia="lt-LT"/>
                    </w:rPr>
                    <w:t>. Pakeisti Metodikos 107 punktą ir jį išdėstyti taip:</w:t>
                  </w:r>
                </w:p>
                <w:sdt>
                  <w:sdtPr>
                    <w:alias w:val="citata"/>
                    <w:tag w:val="part_591a99f3299745b2ba0655d01ed3b3dd"/>
                    <w:id w:val="-1221600813"/>
                    <w:lock w:val="sdtLocked"/>
                  </w:sdtPr>
                  <w:sdtEndPr/>
                  <w:sdtContent>
                    <w:sdt>
                      <w:sdtPr>
                        <w:alias w:val="107 p."/>
                        <w:tag w:val="part_f54d0cb640c14f83b12ff16a8f10472f"/>
                        <w:id w:val="162368729"/>
                        <w:lock w:val="sdtLocked"/>
                      </w:sdtPr>
                      <w:sdtEndPr/>
                      <w:sdtContent>
                        <w:p w14:paraId="65C39ABE" w14:textId="372A75C8" w:rsidR="001635FD" w:rsidRDefault="004A234A">
                          <w:pPr>
                            <w:ind w:firstLine="720"/>
                            <w:jc w:val="both"/>
                            <w:rPr>
                              <w:color w:val="000000"/>
                              <w:szCs w:val="24"/>
                              <w:lang w:eastAsia="lt-LT"/>
                            </w:rPr>
                          </w:pPr>
                          <w:r>
                            <w:rPr>
                              <w:color w:val="000000"/>
                              <w:szCs w:val="24"/>
                              <w:lang w:eastAsia="lt-LT"/>
                            </w:rPr>
                            <w:t>„</w:t>
                          </w:r>
                          <w:sdt>
                            <w:sdtPr>
                              <w:alias w:val="Numeris"/>
                              <w:tag w:val="nr_f54d0cb640c14f83b12ff16a8f10472f"/>
                              <w:id w:val="1524978722"/>
                              <w:lock w:val="sdtLocked"/>
                            </w:sdtPr>
                            <w:sdtEndPr/>
                            <w:sdtContent>
                              <w:r>
                                <w:rPr>
                                  <w:color w:val="000000"/>
                                  <w:szCs w:val="24"/>
                                  <w:lang w:eastAsia="lt-LT"/>
                                </w:rPr>
                                <w:t>107</w:t>
                              </w:r>
                            </w:sdtContent>
                          </w:sdt>
                          <w:r>
                            <w:rPr>
                              <w:color w:val="000000"/>
                              <w:szCs w:val="24"/>
                              <w:lang w:eastAsia="lt-LT"/>
                            </w:rPr>
                            <w:t>. Vartotojams, kuriems pagal Elektros energetikos įstatymą ir kitus tei</w:t>
                          </w:r>
                          <w:r>
                            <w:rPr>
                              <w:color w:val="000000"/>
                              <w:szCs w:val="24"/>
                              <w:lang w:eastAsia="lt-LT"/>
                            </w:rPr>
                            <w:t>sės aktus visuomeninis tiekėjas privalo tiekti elektros energiją, visuomeninės elektros energijos kainos viršutinė riba skaičiuojama sumuojant elektros energijos įsigijimo kainą, visuomeninio tiekimo paslaugos, perdavimo paslaugos AĮ tinklais kainos viršut</w:t>
                          </w:r>
                          <w:r>
                            <w:rPr>
                              <w:color w:val="000000"/>
                              <w:szCs w:val="24"/>
                              <w:lang w:eastAsia="lt-LT"/>
                            </w:rPr>
                            <w:t>inę ribą, sisteminių paslaugų, VIAP kainas ir skirstymo paslaugų, priklausomai nuo to, iš kurios įtampos tinklų vartotojas gauna elektros energiją, kainų viršutines ribas. Visuomeninių elektros energijos kainų viršutinės ribos papildomai įvertina reguliavi</w:t>
                          </w:r>
                          <w:r>
                            <w:rPr>
                              <w:color w:val="000000"/>
                              <w:szCs w:val="24"/>
                              <w:lang w:eastAsia="lt-LT"/>
                            </w:rPr>
                            <w:t>mo svertus, pavyzdžiui, elektros energijos įsigijimo kainos pokytį, ir apskaičiuojamos pagal formulę:</w:t>
                          </w:r>
                        </w:p>
                        <w:p w14:paraId="090B653F" w14:textId="77777777" w:rsidR="001635FD" w:rsidRDefault="001635FD">
                          <w:pPr>
                            <w:jc w:val="both"/>
                            <w:rPr>
                              <w:color w:val="000000"/>
                              <w:szCs w:val="24"/>
                              <w:lang w:eastAsia="lt-LT"/>
                            </w:rPr>
                          </w:pPr>
                        </w:p>
                        <w:p w14:paraId="0F0D35CA" w14:textId="525E74CA" w:rsidR="001635FD" w:rsidRDefault="004A234A">
                          <w:pPr>
                            <w:ind w:firstLine="248"/>
                            <w:jc w:val="both"/>
                            <w:rPr>
                              <w:color w:val="000000"/>
                              <w:szCs w:val="24"/>
                              <w:lang w:eastAsia="lt-LT"/>
                            </w:rPr>
                          </w:pPr>
                          <m:oMath>
                            <m:sSubSup>
                              <m:sSubSupPr>
                                <m:ctrlPr>
                                  <w:rPr>
                                    <w:rFonts w:ascii="Cambria Math" w:hAnsi="Cambria Math"/>
                                    <w:bCs/>
                                    <w:i/>
                                    <w:color w:val="000000"/>
                                    <w:szCs w:val="24"/>
                                    <w:lang w:eastAsia="lt-LT"/>
                                  </w:rPr>
                                </m:ctrlPr>
                              </m:sSubSupPr>
                              <m:e>
                                <m:r>
                                  <w:rPr>
                                    <w:rFonts w:ascii="Cambria Math" w:hAnsi="Cambria Math"/>
                                    <w:color w:val="000000"/>
                                    <w:szCs w:val="24"/>
                                    <w:lang w:eastAsia="lt-LT"/>
                                  </w:rPr>
                                  <m:t>VT</m:t>
                                </m:r>
                              </m:e>
                              <m:sub>
                                <m:d>
                                  <m:dPr>
                                    <m:ctrlPr>
                                      <w:rPr>
                                        <w:rFonts w:ascii="Cambria Math" w:hAnsi="Cambria Math"/>
                                        <w:bCs/>
                                        <w:i/>
                                        <w:color w:val="000000"/>
                                        <w:szCs w:val="24"/>
                                        <w:lang w:eastAsia="lt-LT"/>
                                      </w:rPr>
                                    </m:ctrlPr>
                                  </m:dPr>
                                  <m:e>
                                    <m:r>
                                      <w:rPr>
                                        <w:rFonts w:ascii="Cambria Math" w:hAnsi="Cambria Math"/>
                                        <w:color w:val="000000"/>
                                        <w:szCs w:val="24"/>
                                        <w:lang w:eastAsia="lt-LT"/>
                                      </w:rPr>
                                      <m:t>10,04</m:t>
                                    </m:r>
                                  </m:e>
                                </m:d>
                                <m:r>
                                  <w:rPr>
                                    <w:rFonts w:ascii="Cambria Math" w:hAnsi="Cambria Math"/>
                                    <w:color w:val="000000"/>
                                    <w:szCs w:val="24"/>
                                    <w:lang w:eastAsia="lt-LT"/>
                                  </w:rPr>
                                  <m:t>t</m:t>
                                </m:r>
                              </m:sub>
                              <m:sup>
                                <m:r>
                                  <w:rPr>
                                    <w:rFonts w:ascii="Cambria Math" w:hAnsi="Cambria Math"/>
                                    <w:color w:val="000000"/>
                                    <w:szCs w:val="24"/>
                                    <w:lang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g</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r>
                              <w:rPr>
                                <w:rFonts w:ascii="Cambria Math" w:hAnsi="Cambria Math"/>
                                <w:szCs w:val="24"/>
                                <w:lang w:val="en-US" w:eastAsia="lt-LT"/>
                              </w:rPr>
                              <m:t>∆</m:t>
                            </m:r>
                            <m:sSub>
                              <m:sSubPr>
                                <m:ctrlPr>
                                  <w:rPr>
                                    <w:rFonts w:ascii="Cambria Math" w:hAnsi="Cambria Math"/>
                                    <w:bCs/>
                                    <w:i/>
                                    <w:szCs w:val="24"/>
                                    <w:lang w:val="en-US" w:eastAsia="lt-LT"/>
                                  </w:rPr>
                                </m:ctrlPr>
                              </m:sSubPr>
                              <m:e>
                                <m:r>
                                  <w:rPr>
                                    <w:rFonts w:ascii="Cambria Math" w:hAnsi="Cambria Math"/>
                                    <w:szCs w:val="24"/>
                                    <w:lang w:val="en-US" w:eastAsia="lt-LT"/>
                                  </w:rPr>
                                  <m:t>T</m:t>
                                </m:r>
                              </m:e>
                              <m:sub>
                                <m:r>
                                  <w:rPr>
                                    <w:rFonts w:ascii="Cambria Math" w:hAnsi="Cambria Math"/>
                                    <w:szCs w:val="24"/>
                                    <w:lang w:val="en-US" w:eastAsia="lt-LT"/>
                                  </w:rPr>
                                  <m:t>g</m:t>
                                </m:r>
                                <m:r>
                                  <w:rPr>
                                    <w:rFonts w:ascii="Cambria Math" w:hAnsi="Cambria Math"/>
                                    <w:szCs w:val="24"/>
                                    <w:lang w:val="en-US" w:eastAsia="lt-LT"/>
                                  </w:rPr>
                                  <m:t>,</m:t>
                                </m:r>
                                <m:r>
                                  <w:rPr>
                                    <w:rFonts w:ascii="Cambria Math" w:hAnsi="Cambria Math"/>
                                    <w:szCs w:val="24"/>
                                    <w:lang w:val="en-US" w:eastAsia="lt-LT"/>
                                  </w:rPr>
                                  <m:t>t</m:t>
                                </m:r>
                                <m:r>
                                  <w:rPr>
                                    <w:rFonts w:ascii="Cambria Math" w:hAnsi="Cambria Math"/>
                                    <w:szCs w:val="24"/>
                                    <w:lang w:val="en-US" w:eastAsia="lt-LT"/>
                                  </w:rPr>
                                  <m:t>-2</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vt</m:t>
                                </m:r>
                                <m:r>
                                  <w:rPr>
                                    <w:rFonts w:ascii="Cambria Math" w:hAnsi="Cambria Math"/>
                                    <w:color w:val="000000"/>
                                    <w:szCs w:val="24"/>
                                    <w:lang w:val="en-US" w:eastAsia="lt-LT"/>
                                  </w:rPr>
                                  <m:t>,</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110,</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sis</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viap</m:t>
                                </m:r>
                                <m:r>
                                  <w:rPr>
                                    <w:rFonts w:ascii="Cambria Math" w:hAnsi="Cambria Math"/>
                                    <w:color w:val="000000"/>
                                    <w:szCs w:val="24"/>
                                    <w:lang w:val="en-US" w:eastAsia="lt-LT"/>
                                  </w:rPr>
                                  <m:t>,</m:t>
                                </m:r>
                                <m:r>
                                  <w:rPr>
                                    <w:rFonts w:ascii="Cambria Math" w:hAnsi="Cambria Math"/>
                                    <w:color w:val="000000"/>
                                    <w:szCs w:val="24"/>
                                    <w:lang w:val="en-US" w:eastAsia="lt-LT"/>
                                  </w:rPr>
                                  <m:t>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10,</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04,</m:t>
                                </m:r>
                                <m:r>
                                  <w:rPr>
                                    <w:rFonts w:ascii="Cambria Math" w:hAnsi="Cambria Math"/>
                                    <w:color w:val="000000"/>
                                    <w:szCs w:val="24"/>
                                    <w:lang w:val="en-US" w:eastAsia="lt-LT"/>
                                  </w:rPr>
                                  <m: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STO</m:t>
                                </m:r>
                                <m:d>
                                  <m:dPr>
                                    <m:ctrlPr>
                                      <w:rPr>
                                        <w:rFonts w:ascii="Cambria Math" w:hAnsi="Cambria Math"/>
                                        <w:i/>
                                        <w:color w:val="000000"/>
                                        <w:szCs w:val="24"/>
                                        <w:lang w:val="en-US" w:eastAsia="lt-LT"/>
                                      </w:rPr>
                                    </m:ctrlPr>
                                  </m:dPr>
                                  <m:e>
                                    <m:r>
                                      <w:rPr>
                                        <w:rFonts w:ascii="Cambria Math" w:hAnsi="Cambria Math"/>
                                        <w:color w:val="000000"/>
                                        <w:szCs w:val="24"/>
                                        <w:lang w:val="en-US" w:eastAsia="lt-LT"/>
                                      </w:rPr>
                                      <m:t>10,04</m:t>
                                    </m:r>
                                  </m:e>
                                </m:d>
                                <m:r>
                                  <w:rPr>
                                    <w:rFonts w:ascii="Cambria Math" w:hAnsi="Cambria Math"/>
                                    <w:color w:val="000000"/>
                                    <w:szCs w:val="24"/>
                                    <w:lang w:val="en-US" w:eastAsia="lt-LT"/>
                                  </w:rPr>
                                  <m:t>,</m:t>
                                </m:r>
                                <m:r>
                                  <w:rPr>
                                    <w:rFonts w:ascii="Cambria Math" w:hAnsi="Cambria Math"/>
                                    <w:color w:val="000000"/>
                                    <w:szCs w:val="24"/>
                                    <w:lang w:val="en-US" w:eastAsia="lt-LT"/>
                                  </w:rPr>
                                  <m:t>t</m:t>
                                </m:r>
                                <m:r>
                                  <w:rPr>
                                    <w:rFonts w:ascii="Cambria Math" w:hAnsi="Cambria Math"/>
                                    <w:color w:val="000000"/>
                                    <w:szCs w:val="24"/>
                                    <w:lang w:val="en-US" w:eastAsia="lt-LT"/>
                                  </w:rPr>
                                  <m:t>-2</m:t>
                                </m:r>
                              </m:sub>
                            </m:sSub>
                          </m:oMath>
                          <w:r>
                            <w:rPr>
                              <w:color w:val="000000"/>
                              <w:szCs w:val="24"/>
                              <w:lang w:eastAsia="lt-LT"/>
                            </w:rPr>
                            <w:t>(65)</w:t>
                          </w:r>
                        </w:p>
                        <w:p w14:paraId="08D549AC" w14:textId="77777777" w:rsidR="001635FD" w:rsidRDefault="001635FD">
                          <w:pPr>
                            <w:ind w:firstLine="842"/>
                            <w:jc w:val="both"/>
                            <w:rPr>
                              <w:color w:val="000000"/>
                              <w:szCs w:val="24"/>
                              <w:lang w:eastAsia="lt-LT"/>
                            </w:rPr>
                          </w:pPr>
                        </w:p>
                        <w:p w14:paraId="7978034E" w14:textId="77777777" w:rsidR="001635FD" w:rsidRDefault="004A234A">
                          <w:pPr>
                            <w:ind w:firstLine="720"/>
                            <w:jc w:val="both"/>
                            <w:rPr>
                              <w:color w:val="000000"/>
                              <w:szCs w:val="24"/>
                              <w:lang w:eastAsia="lt-LT"/>
                            </w:rPr>
                          </w:pPr>
                          <w:r>
                            <w:rPr>
                              <w:i/>
                              <w:iCs/>
                              <w:color w:val="000000"/>
                              <w:szCs w:val="24"/>
                              <w:lang w:eastAsia="lt-LT"/>
                            </w:rPr>
                            <w:t>čia:</w:t>
                          </w:r>
                        </w:p>
                        <w:p w14:paraId="0C23AD8B" w14:textId="7FA230D5" w:rsidR="001635FD" w:rsidRDefault="004A234A">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w:t>
                          </w:r>
                          <w:r>
                            <w:rPr>
                              <w:color w:val="000000"/>
                              <w:szCs w:val="24"/>
                              <w:lang w:eastAsia="lt-LT"/>
                            </w:rPr>
                            <w:t xml:space="preserve">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4FC557AE" w14:textId="3F9F1F03" w:rsidR="001635FD" w:rsidRDefault="004A234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g</w:t>
                          </w:r>
                          <w:proofErr w:type="spellEnd"/>
                          <w:r>
                            <w:rPr>
                              <w:color w:val="000000"/>
                              <w:szCs w:val="24"/>
                              <w:vertAlign w:val="subscript"/>
                              <w:lang w:eastAsia="lt-LT"/>
                            </w:rPr>
                            <w:t>,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w:t>
                          </w:r>
                          <w:proofErr w:type="spellStart"/>
                          <w:r>
                            <w:rPr>
                              <w:color w:val="000000"/>
                              <w:szCs w:val="24"/>
                              <w:lang w:eastAsia="lt-LT"/>
                            </w:rPr>
                            <w:t>kWh</w:t>
                          </w:r>
                          <w:proofErr w:type="spellEnd"/>
                          <w:r>
                            <w:rPr>
                              <w:color w:val="000000"/>
                              <w:szCs w:val="24"/>
                              <w:lang w:eastAsia="lt-LT"/>
                            </w:rPr>
                            <w:t>;</w:t>
                          </w:r>
                        </w:p>
                        <w:p w14:paraId="60C1922A" w14:textId="44B1A9F1" w:rsidR="001635FD" w:rsidRDefault="004A234A">
                          <w:pPr>
                            <w:ind w:firstLine="720"/>
                            <w:jc w:val="both"/>
                            <w:rPr>
                              <w:color w:val="000000"/>
                              <w:szCs w:val="24"/>
                              <w:lang w:eastAsia="lt-LT"/>
                            </w:rPr>
                          </w:pPr>
                          <w:proofErr w:type="spellStart"/>
                          <w:r>
                            <w:rPr>
                              <w:color w:val="000000"/>
                              <w:szCs w:val="24"/>
                              <w:lang w:eastAsia="lt-LT"/>
                            </w:rPr>
                            <w:t>ΔT</w:t>
                          </w:r>
                          <w:r>
                            <w:rPr>
                              <w:color w:val="000000"/>
                              <w:szCs w:val="24"/>
                              <w:vertAlign w:val="subscript"/>
                              <w:lang w:eastAsia="lt-LT"/>
                            </w:rPr>
                            <w:t>g</w:t>
                          </w:r>
                          <w:proofErr w:type="spellEnd"/>
                          <w:r>
                            <w:rPr>
                              <w:color w:val="000000"/>
                              <w:szCs w:val="24"/>
                              <w:vertAlign w:val="subscript"/>
                              <w:lang w:eastAsia="lt-LT"/>
                            </w:rPr>
                            <w:t>, t-2</w:t>
                          </w:r>
                          <w:r>
                            <w:rPr>
                              <w:color w:val="000000"/>
                              <w:szCs w:val="24"/>
                              <w:lang w:eastAsia="lt-LT"/>
                            </w:rPr>
                            <w:t> – </w:t>
                          </w:r>
                          <w:r>
                            <w:rPr>
                              <w:i/>
                              <w:iCs/>
                              <w:color w:val="000000"/>
                              <w:szCs w:val="24"/>
                              <w:lang w:eastAsia="lt-LT"/>
                            </w:rPr>
                            <w:t>t</w:t>
                          </w:r>
                          <w:r>
                            <w:rPr>
                              <w:color w:val="000000"/>
                              <w:szCs w:val="24"/>
                              <w:lang w:eastAsia="lt-LT"/>
                            </w:rPr>
                            <w:t>-2 metų faktinės elekt</w:t>
                          </w:r>
                          <w:r>
                            <w:rPr>
                              <w:color w:val="000000"/>
                              <w:szCs w:val="24"/>
                              <w:lang w:eastAsia="lt-LT"/>
                            </w:rPr>
                            <w:t>ros energijos įsigijimo kainos ir prognozuotos elektros energijos įsigijimo kainos skirtumas, EUR/</w:t>
                          </w:r>
                          <w:proofErr w:type="spellStart"/>
                          <w:r>
                            <w:rPr>
                              <w:color w:val="000000"/>
                              <w:szCs w:val="24"/>
                              <w:lang w:eastAsia="lt-LT"/>
                            </w:rPr>
                            <w:t>kWh</w:t>
                          </w:r>
                          <w:proofErr w:type="spellEnd"/>
                          <w:r>
                            <w:rPr>
                              <w:color w:val="000000"/>
                              <w:szCs w:val="24"/>
                              <w:lang w:eastAsia="lt-LT"/>
                            </w:rPr>
                            <w:t>;</w:t>
                          </w:r>
                        </w:p>
                        <w:p w14:paraId="7D113AEF" w14:textId="77777777" w:rsidR="001635FD" w:rsidRDefault="004A234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vt</w:t>
                          </w:r>
                          <w:proofErr w:type="spellEnd"/>
                          <w:r>
                            <w:rPr>
                              <w:color w:val="000000"/>
                              <w:szCs w:val="24"/>
                              <w:vertAlign w:val="subscript"/>
                              <w:lang w:eastAsia="lt-LT"/>
                            </w:rPr>
                            <w: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190ECF53" w14:textId="14DDF149" w:rsidR="001635FD" w:rsidRDefault="004A234A">
                          <w:pPr>
                            <w:ind w:firstLine="720"/>
                            <w:jc w:val="both"/>
                            <w:rPr>
                              <w:color w:val="000000"/>
                              <w:szCs w:val="24"/>
                              <w:lang w:eastAsia="lt-LT"/>
                            </w:rPr>
                          </w:pPr>
                          <w:r>
                            <w:rPr>
                              <w:color w:val="000000"/>
                              <w:szCs w:val="24"/>
                              <w:lang w:eastAsia="lt-LT"/>
                            </w:rPr>
                            <w:t>T’</w:t>
                          </w:r>
                          <w:r>
                            <w:rPr>
                              <w:color w:val="000000"/>
                              <w:szCs w:val="24"/>
                              <w:vertAlign w:val="subscript"/>
                              <w:lang w:eastAsia="lt-LT"/>
                            </w:rPr>
                            <w:t>110, t</w:t>
                          </w:r>
                          <w:r>
                            <w:rPr>
                              <w:color w:val="000000"/>
                              <w:szCs w:val="24"/>
                              <w:lang w:eastAsia="lt-LT"/>
                            </w:rPr>
                            <w:t xml:space="preserve"> – elektros energijos perdavimo AĮ tinklais </w:t>
                          </w:r>
                          <w:r>
                            <w:rPr>
                              <w:color w:val="000000"/>
                              <w:szCs w:val="24"/>
                              <w:lang w:eastAsia="lt-LT"/>
                            </w:rPr>
                            <w:t>paslaugos kainos viršutinė riba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6834573A" w14:textId="34A5B2B3" w:rsidR="001635FD" w:rsidRDefault="004A234A">
                          <w:pPr>
                            <w:ind w:firstLine="720"/>
                            <w:jc w:val="both"/>
                            <w:rPr>
                              <w:color w:val="000000"/>
                              <w:szCs w:val="24"/>
                              <w:lang w:eastAsia="lt-LT"/>
                            </w:rPr>
                          </w:pPr>
                          <w:r>
                            <w:rPr>
                              <w:color w:val="000000"/>
                              <w:szCs w:val="24"/>
                              <w:lang w:eastAsia="lt-LT"/>
                            </w:rPr>
                            <w:lastRenderedPageBreak/>
                            <w:t>T’</w:t>
                          </w:r>
                          <w:r>
                            <w:rPr>
                              <w:color w:val="000000"/>
                              <w:szCs w:val="24"/>
                              <w:vertAlign w:val="subscript"/>
                              <w:lang w:eastAsia="lt-LT"/>
                            </w:rPr>
                            <w:t>10, t</w:t>
                          </w:r>
                          <w:r>
                            <w:rPr>
                              <w:color w:val="000000"/>
                              <w:szCs w:val="24"/>
                              <w:lang w:eastAsia="lt-LT"/>
                            </w:rPr>
                            <w:t> – elektros energijos skirstymo paslaugos VĮ tinklais kainos viršutinė riba </w:t>
                          </w:r>
                          <w:r>
                            <w:rPr>
                              <w:i/>
                              <w:iCs/>
                              <w:color w:val="000000"/>
                              <w:szCs w:val="24"/>
                              <w:lang w:eastAsia="lt-LT"/>
                            </w:rPr>
                            <w:t>t </w:t>
                          </w:r>
                          <w:r>
                            <w:rPr>
                              <w:color w:val="000000"/>
                              <w:szCs w:val="24"/>
                              <w:lang w:eastAsia="lt-LT"/>
                            </w:rPr>
                            <w:t xml:space="preserve">metais, </w:t>
                          </w:r>
                          <w:r>
                            <w:rPr>
                              <w:bCs/>
                              <w:szCs w:val="24"/>
                              <w:lang w:eastAsia="lt-LT"/>
                            </w:rPr>
                            <w:t xml:space="preserve">įvertinant elektros energijos skirstymo paslaugos teikimo sąnaudų priskyrimo buitiniams vartotojams koeficientą </w:t>
                          </w:r>
                          <w:r>
                            <w:rPr>
                              <w:bCs/>
                              <w:szCs w:val="24"/>
                              <w:lang w:eastAsia="lt-LT"/>
                            </w:rPr>
                            <w:t>pagal Metodikos 107</w:t>
                          </w:r>
                          <w:r>
                            <w:rPr>
                              <w:bCs/>
                              <w:szCs w:val="24"/>
                              <w:vertAlign w:val="superscript"/>
                              <w:lang w:eastAsia="lt-LT"/>
                            </w:rPr>
                            <w:t>1</w:t>
                          </w:r>
                          <w:r>
                            <w:rPr>
                              <w:bCs/>
                              <w:szCs w:val="24"/>
                              <w:lang w:eastAsia="lt-LT"/>
                            </w:rPr>
                            <w:t xml:space="preserve"> punktą,</w:t>
                          </w:r>
                          <w:r>
                            <w:rPr>
                              <w:color w:val="000000"/>
                              <w:szCs w:val="24"/>
                              <w:lang w:eastAsia="lt-LT"/>
                            </w:rPr>
                            <w:t xml:space="preserve"> EUR/</w:t>
                          </w:r>
                          <w:proofErr w:type="spellStart"/>
                          <w:r>
                            <w:rPr>
                              <w:color w:val="000000"/>
                              <w:szCs w:val="24"/>
                              <w:lang w:eastAsia="lt-LT"/>
                            </w:rPr>
                            <w:t>kWh</w:t>
                          </w:r>
                          <w:proofErr w:type="spellEnd"/>
                          <w:r>
                            <w:rPr>
                              <w:color w:val="000000"/>
                              <w:szCs w:val="24"/>
                              <w:lang w:eastAsia="lt-LT"/>
                            </w:rPr>
                            <w:t>;</w:t>
                          </w:r>
                        </w:p>
                        <w:p w14:paraId="3B032F20" w14:textId="5388369E" w:rsidR="001635FD" w:rsidRDefault="004A234A">
                          <w:pPr>
                            <w:ind w:firstLine="720"/>
                            <w:jc w:val="both"/>
                            <w:rPr>
                              <w:szCs w:val="24"/>
                              <w:lang w:eastAsia="lt-LT"/>
                            </w:rPr>
                          </w:pPr>
                          <w:r>
                            <w:rPr>
                              <w:color w:val="000000"/>
                              <w:szCs w:val="24"/>
                              <w:lang w:eastAsia="lt-LT"/>
                            </w:rPr>
                            <w:t>T’</w:t>
                          </w:r>
                          <w:r>
                            <w:rPr>
                              <w:color w:val="000000"/>
                              <w:szCs w:val="24"/>
                              <w:vertAlign w:val="subscript"/>
                              <w:lang w:eastAsia="lt-LT"/>
                            </w:rPr>
                            <w:t>04, t</w:t>
                          </w:r>
                          <w:r>
                            <w:rPr>
                              <w:color w:val="000000"/>
                              <w:szCs w:val="24"/>
                              <w:lang w:eastAsia="lt-LT"/>
                            </w:rPr>
                            <w:t xml:space="preserve"> – </w:t>
                          </w:r>
                          <w:r>
                            <w:rPr>
                              <w:szCs w:val="24"/>
                              <w:lang w:eastAsia="lt-LT"/>
                            </w:rPr>
                            <w:t xml:space="preserve">elektros energijos skirstymo paslaugos ŽĮ tinklais kainos viršutinė riba, </w:t>
                          </w:r>
                          <w:r>
                            <w:rPr>
                              <w:i/>
                              <w:iCs/>
                              <w:szCs w:val="24"/>
                              <w:lang w:eastAsia="lt-LT"/>
                            </w:rPr>
                            <w:t>t</w:t>
                          </w:r>
                          <w:r>
                            <w:rPr>
                              <w:szCs w:val="24"/>
                              <w:lang w:eastAsia="lt-LT"/>
                            </w:rPr>
                            <w:t xml:space="preserve"> metais, EUR/</w:t>
                          </w:r>
                          <w:proofErr w:type="spellStart"/>
                          <w:r>
                            <w:rPr>
                              <w:szCs w:val="24"/>
                              <w:lang w:eastAsia="lt-LT"/>
                            </w:rPr>
                            <w:t>kWh</w:t>
                          </w:r>
                          <w:proofErr w:type="spellEnd"/>
                          <w:r>
                            <w:rPr>
                              <w:szCs w:val="24"/>
                              <w:lang w:eastAsia="lt-LT"/>
                            </w:rPr>
                            <w:t xml:space="preserve">, </w:t>
                          </w:r>
                          <w:r>
                            <w:rPr>
                              <w:color w:val="000000"/>
                              <w:szCs w:val="24"/>
                              <w:lang w:eastAsia="lt-LT"/>
                            </w:rPr>
                            <w:t xml:space="preserve">įvertinant skirstymo paslaugos teikimo sąnaudų priskyrimo buitiniams vartotojams koeficientą, kurio reikšmė lygi </w:t>
                          </w:r>
                          <w:r>
                            <w:rPr>
                              <w:color w:val="000000"/>
                              <w:szCs w:val="24"/>
                              <w:lang w:eastAsia="lt-LT"/>
                            </w:rPr>
                            <w:t>1,3. Skirstomųjų tinklų operatoriui diferencijuojant persiuntimo paslaugos kainas vartotojams reikšmė nuosekliai didinama iki 2020 m., tačiau negali viršyti 1,3. Reguliuojančiajai institucijai nustačius naują skirstymo veiklos reguliavimo periodą, skirstom</w:t>
                          </w:r>
                          <w:r>
                            <w:rPr>
                              <w:color w:val="000000"/>
                              <w:szCs w:val="24"/>
                              <w:lang w:eastAsia="lt-LT"/>
                            </w:rPr>
                            <w:t>ųjų tinklų operatoriui diferencijuojant persiuntimo paslaugos kainas vartotojams reikšmė reguliavimo periodu nuosekliai didinama iki reikšmės, ne didesnės kaip 1,4</w:t>
                          </w:r>
                          <w:r>
                            <w:rPr>
                              <w:szCs w:val="24"/>
                              <w:lang w:eastAsia="lt-LT"/>
                            </w:rPr>
                            <w:t>.;</w:t>
                          </w:r>
                        </w:p>
                        <w:p w14:paraId="0433BD6A" w14:textId="77777777" w:rsidR="001635FD" w:rsidRDefault="004A234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sis</w:t>
                          </w:r>
                          <w:proofErr w:type="spellEnd"/>
                          <w:r>
                            <w:rPr>
                              <w:color w:val="000000"/>
                              <w:szCs w:val="24"/>
                              <w:vertAlign w:val="subscript"/>
                              <w:lang w:eastAsia="lt-LT"/>
                            </w:rPr>
                            <w:t>, t </w:t>
                          </w:r>
                          <w:r>
                            <w:rPr>
                              <w:color w:val="000000"/>
                              <w:szCs w:val="24"/>
                              <w:lang w:eastAsia="lt-LT"/>
                            </w:rPr>
                            <w:t>– elektros energijos sisteminių paslaugų kaina, apskaičiuota vadovaujantis 2012 m.</w:t>
                          </w:r>
                          <w:r>
                            <w:rPr>
                              <w:color w:val="000000"/>
                              <w:szCs w:val="24"/>
                              <w:lang w:eastAsia="lt-LT"/>
                            </w:rPr>
                            <w:t xml:space="preserve"> liepos 27 d. Komisijos nutarimu Nr. O3-200 „Dėl Elektros energijos sisteminių paslaugų kainos nustatymo metodikos patvirtinimo“ patvirtinta Elektros energijos sisteminių paslaugų kainos nustatymo metodika,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color w:val="000000"/>
                              <w:szCs w:val="24"/>
                              <w:lang w:eastAsia="lt-LT"/>
                            </w:rPr>
                            <w:t>;</w:t>
                          </w:r>
                        </w:p>
                        <w:p w14:paraId="4FF6365E" w14:textId="1764450F" w:rsidR="001635FD" w:rsidRDefault="004A234A">
                          <w:pPr>
                            <w:ind w:firstLine="720"/>
                            <w:jc w:val="both"/>
                            <w:rPr>
                              <w:color w:val="000000"/>
                              <w:szCs w:val="24"/>
                              <w:lang w:eastAsia="lt-LT"/>
                            </w:rPr>
                          </w:pPr>
                          <w:proofErr w:type="spellStart"/>
                          <w:r>
                            <w:rPr>
                              <w:color w:val="000000"/>
                              <w:szCs w:val="24"/>
                              <w:lang w:eastAsia="lt-LT"/>
                            </w:rPr>
                            <w:t>T</w:t>
                          </w:r>
                          <w:r>
                            <w:rPr>
                              <w:color w:val="000000"/>
                              <w:szCs w:val="24"/>
                              <w:vertAlign w:val="subscript"/>
                              <w:lang w:eastAsia="lt-LT"/>
                            </w:rPr>
                            <w:t>viap</w:t>
                          </w:r>
                          <w:proofErr w:type="spellEnd"/>
                          <w:r>
                            <w:rPr>
                              <w:color w:val="000000"/>
                              <w:szCs w:val="24"/>
                              <w:vertAlign w:val="subscript"/>
                              <w:lang w:eastAsia="lt-LT"/>
                            </w:rPr>
                            <w:t>, t</w:t>
                          </w:r>
                          <w:r>
                            <w:rPr>
                              <w:color w:val="000000"/>
                              <w:szCs w:val="24"/>
                              <w:lang w:eastAsia="lt-LT"/>
                            </w:rPr>
                            <w:t xml:space="preserve"> – elektros energijos </w:t>
                          </w:r>
                          <w:r>
                            <w:rPr>
                              <w:color w:val="000000"/>
                              <w:szCs w:val="24"/>
                              <w:lang w:eastAsia="lt-LT"/>
                            </w:rPr>
                            <w:t>viešuosius interesus atitinkančių paslaugų kaina, apskaičiuota vadovaujantis 2012 m. rugsėjo 28 d. Komisijos nutarimu Nr. O3-279 „Dėl Viešuosius interesus atitinkančių paslaugų elektros energetikos sektoriuje kainos nustatymo metodikos patvirtinimo“ patvir</w:t>
                          </w:r>
                          <w:r>
                            <w:rPr>
                              <w:color w:val="000000"/>
                              <w:szCs w:val="24"/>
                              <w:lang w:eastAsia="lt-LT"/>
                            </w:rPr>
                            <w:t>tinta Viešuosius interesus atitinkančių paslaugų elektros energetikos sektoriuje kainos nustatymo metodika, </w:t>
                          </w:r>
                          <w:r>
                            <w:rPr>
                              <w:i/>
                              <w:iCs/>
                              <w:color w:val="000000"/>
                              <w:szCs w:val="24"/>
                              <w:lang w:eastAsia="lt-LT"/>
                            </w:rPr>
                            <w:t>t </w:t>
                          </w:r>
                          <w:r>
                            <w:rPr>
                              <w:color w:val="000000"/>
                              <w:szCs w:val="24"/>
                              <w:lang w:eastAsia="lt-LT"/>
                            </w:rPr>
                            <w:t>metais, EUR/</w:t>
                          </w:r>
                          <w:proofErr w:type="spellStart"/>
                          <w:r>
                            <w:rPr>
                              <w:color w:val="000000"/>
                              <w:szCs w:val="24"/>
                              <w:lang w:eastAsia="lt-LT"/>
                            </w:rPr>
                            <w:t>kWh</w:t>
                          </w:r>
                          <w:proofErr w:type="spellEnd"/>
                          <w:r>
                            <w:rPr>
                              <w:bCs/>
                              <w:color w:val="000000"/>
                              <w:szCs w:val="24"/>
                              <w:lang w:eastAsia="lt-LT"/>
                            </w:rPr>
                            <w:t>;</w:t>
                          </w:r>
                        </w:p>
                        <w:p w14:paraId="09927B3F" w14:textId="2108E5A2" w:rsidR="001635FD" w:rsidRDefault="004A234A">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i/>
                              <w:iCs/>
                              <w:color w:val="000000"/>
                              <w:szCs w:val="24"/>
                              <w:lang w:eastAsia="lt-LT"/>
                            </w:rPr>
                            <w:t>t</w:t>
                          </w:r>
                          <w:r>
                            <w:rPr>
                              <w:color w:val="000000"/>
                              <w:szCs w:val="24"/>
                              <w:lang w:eastAsia="lt-LT"/>
                            </w:rPr>
                            <w:t>-2 metų visuomeninės elektros energijos kainos viršutinėje riboje taikytų ir faktinių elektros energijos ski</w:t>
                          </w:r>
                          <w:r>
                            <w:rPr>
                              <w:color w:val="000000"/>
                              <w:szCs w:val="24"/>
                              <w:lang w:eastAsia="lt-LT"/>
                            </w:rPr>
                            <w:t>rstymo paslaugų VĮ ir ŽĮ tinkluose kainų viršutinių ribų skirtumas</w:t>
                          </w:r>
                          <w:r>
                            <w:rPr>
                              <w:bCs/>
                              <w:color w:val="000000"/>
                              <w:szCs w:val="24"/>
                              <w:lang w:eastAsia="lt-LT"/>
                            </w:rPr>
                            <w:t>, vienam visuomeniniam tiekėjui veikiant kelių skirstomųjų tinklų operatorių licencijuojamos veiklos teritorijose, EUR/</w:t>
                          </w:r>
                          <w:proofErr w:type="spellStart"/>
                          <w:r>
                            <w:rPr>
                              <w:bCs/>
                              <w:color w:val="000000"/>
                              <w:szCs w:val="24"/>
                              <w:lang w:eastAsia="lt-LT"/>
                            </w:rPr>
                            <w:t>kWh</w:t>
                          </w:r>
                          <w:proofErr w:type="spellEnd"/>
                          <w:r>
                            <w:rPr>
                              <w:bCs/>
                              <w:color w:val="000000"/>
                              <w:szCs w:val="24"/>
                              <w:lang w:eastAsia="lt-LT"/>
                            </w:rPr>
                            <w:t>.</w:t>
                          </w:r>
                          <w:r>
                            <w:rPr>
                              <w:color w:val="000000"/>
                              <w:szCs w:val="24"/>
                              <w:lang w:eastAsia="lt-LT"/>
                            </w:rPr>
                            <w:t>“</w:t>
                          </w:r>
                        </w:p>
                      </w:sdtContent>
                    </w:sdt>
                  </w:sdtContent>
                </w:sdt>
              </w:sdtContent>
            </w:sdt>
            <w:sdt>
              <w:sdtPr>
                <w:alias w:val="1.7 pp."/>
                <w:tag w:val="part_152a5783db494e44912f50a8811df05b"/>
                <w:id w:val="-432603439"/>
                <w:lock w:val="sdtLocked"/>
              </w:sdtPr>
              <w:sdtEndPr/>
              <w:sdtContent>
                <w:p w14:paraId="078EFE96" w14:textId="436C5AE1" w:rsidR="001635FD" w:rsidRDefault="004A234A">
                  <w:pPr>
                    <w:ind w:firstLine="720"/>
                    <w:jc w:val="both"/>
                    <w:rPr>
                      <w:color w:val="000000"/>
                      <w:szCs w:val="24"/>
                      <w:lang w:eastAsia="lt-LT"/>
                    </w:rPr>
                  </w:pPr>
                  <w:sdt>
                    <w:sdtPr>
                      <w:alias w:val="Numeris"/>
                      <w:tag w:val="nr_152a5783db494e44912f50a8811df05b"/>
                      <w:id w:val="-17933709"/>
                      <w:lock w:val="sdtLocked"/>
                    </w:sdtPr>
                    <w:sdtEndPr/>
                    <w:sdtContent>
                      <w:r>
                        <w:rPr>
                          <w:color w:val="000000"/>
                          <w:szCs w:val="24"/>
                          <w:lang w:eastAsia="lt-LT"/>
                        </w:rPr>
                        <w:t>1.7</w:t>
                      </w:r>
                    </w:sdtContent>
                  </w:sdt>
                  <w:r>
                    <w:rPr>
                      <w:color w:val="000000"/>
                      <w:szCs w:val="24"/>
                      <w:lang w:eastAsia="lt-LT"/>
                    </w:rPr>
                    <w:t>. Papildyti Metodiką 107</w:t>
                  </w:r>
                  <w:r>
                    <w:rPr>
                      <w:color w:val="000000"/>
                      <w:szCs w:val="24"/>
                      <w:vertAlign w:val="superscript"/>
                      <w:lang w:eastAsia="lt-LT"/>
                    </w:rPr>
                    <w:t>1</w:t>
                  </w:r>
                  <w:r>
                    <w:rPr>
                      <w:color w:val="000000"/>
                      <w:szCs w:val="24"/>
                      <w:lang w:eastAsia="lt-LT"/>
                    </w:rPr>
                    <w:t xml:space="preserve"> punktu ir jį išdėstyti taip:</w:t>
                  </w:r>
                </w:p>
                <w:sdt>
                  <w:sdtPr>
                    <w:alias w:val="citata"/>
                    <w:tag w:val="part_404259b339214d55b57d80bd7ed277f4"/>
                    <w:id w:val="52668019"/>
                    <w:lock w:val="sdtLocked"/>
                  </w:sdtPr>
                  <w:sdtEndPr/>
                  <w:sdtContent>
                    <w:sdt>
                      <w:sdtPr>
                        <w:alias w:val="107-1 p."/>
                        <w:tag w:val="part_70e12daa22094251b851f97185dd9282"/>
                        <w:id w:val="1333798893"/>
                        <w:lock w:val="sdtLocked"/>
                      </w:sdtPr>
                      <w:sdtEndPr/>
                      <w:sdtContent>
                        <w:p w14:paraId="60C05136" w14:textId="3B153C23" w:rsidR="001635FD" w:rsidRDefault="004A234A">
                          <w:pPr>
                            <w:ind w:firstLine="720"/>
                            <w:jc w:val="both"/>
                            <w:rPr>
                              <w:bCs/>
                              <w:color w:val="000000"/>
                              <w:szCs w:val="24"/>
                              <w:lang w:eastAsia="lt-LT"/>
                            </w:rPr>
                          </w:pPr>
                          <w:r>
                            <w:rPr>
                              <w:color w:val="000000"/>
                              <w:szCs w:val="24"/>
                              <w:lang w:eastAsia="lt-LT"/>
                            </w:rPr>
                            <w:t>„</w:t>
                          </w:r>
                          <w:sdt>
                            <w:sdtPr>
                              <w:alias w:val="Numeris"/>
                              <w:tag w:val="nr_70e12daa22094251b851f97185dd9282"/>
                              <w:id w:val="1011646921"/>
                              <w:lock w:val="sdtLocked"/>
                            </w:sdtPr>
                            <w:sdtEnd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w:t>
                          </w:r>
                          <w:r>
                            <w:rPr>
                              <w:bCs/>
                              <w:color w:val="000000"/>
                              <w:szCs w:val="24"/>
                              <w:lang w:eastAsia="lt-LT"/>
                            </w:rPr>
                            <w:t xml:space="preserve">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w:t>
                          </w:r>
                          <w:r>
                            <w:rPr>
                              <w:bCs/>
                              <w:color w:val="000000"/>
                              <w:szCs w:val="24"/>
                              <w:lang w:eastAsia="lt-LT"/>
                            </w:rPr>
                            <w:t>os skirstymo paslaugos teikimo sąnaudų priskyrimo buitiniams vartotojams koeficientą, priklausomai nuo prie kurios įtampos tinklų prijungti vartotojai. Prie VĮ tinklų prisijungusiems vartotojams ir prie ŽĮ tinklų prisijungusiems vartotojams taikomų elektro</w:t>
                          </w:r>
                          <w:r>
                            <w:rPr>
                              <w:bCs/>
                              <w:color w:val="000000"/>
                              <w:szCs w:val="24"/>
                              <w:lang w:eastAsia="lt-LT"/>
                            </w:rPr>
                            <w:t xml:space="preserve">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p>
                      </w:sdtContent>
                    </w:sdt>
                  </w:sdtContent>
                </w:sdt>
              </w:sdtContent>
            </w:sdt>
            <w:sdt>
              <w:sdtPr>
                <w:alias w:val="1.8 pp."/>
                <w:tag w:val="part_48edaecfc7044d3d8a14bad4a6e6eec1"/>
                <w:id w:val="1733272554"/>
                <w:lock w:val="sdtLocked"/>
              </w:sdtPr>
              <w:sdtEndPr/>
              <w:sdtContent>
                <w:p w14:paraId="192DEE88" w14:textId="7570C198" w:rsidR="001635FD" w:rsidRDefault="004A234A">
                  <w:pPr>
                    <w:ind w:firstLine="720"/>
                    <w:jc w:val="both"/>
                    <w:rPr>
                      <w:color w:val="000000"/>
                      <w:szCs w:val="24"/>
                      <w:lang w:eastAsia="lt-LT"/>
                    </w:rPr>
                  </w:pPr>
                  <w:sdt>
                    <w:sdtPr>
                      <w:alias w:val="Numeris"/>
                      <w:tag w:val="nr_48edaecfc7044d3d8a14bad4a6e6eec1"/>
                      <w:id w:val="-166480841"/>
                      <w:lock w:val="sdtLocked"/>
                    </w:sdtPr>
                    <w:sdtEndPr/>
                    <w:sdtContent>
                      <w:r>
                        <w:rPr>
                          <w:color w:val="000000"/>
                          <w:szCs w:val="24"/>
                          <w:lang w:eastAsia="lt-LT"/>
                        </w:rPr>
                        <w:t>1.8</w:t>
                      </w:r>
                    </w:sdtContent>
                  </w:sdt>
                  <w:r>
                    <w:rPr>
                      <w:color w:val="000000"/>
                      <w:szCs w:val="24"/>
                      <w:lang w:eastAsia="lt-LT"/>
                    </w:rPr>
                    <w:t xml:space="preserve">. </w:t>
                  </w:r>
                  <w:r>
                    <w:rPr>
                      <w:color w:val="000000"/>
                      <w:szCs w:val="24"/>
                      <w:lang w:eastAsia="lt-LT"/>
                    </w:rPr>
                    <w:t>Papildyti Metodiką 107</w:t>
                  </w:r>
                  <w:r>
                    <w:rPr>
                      <w:color w:val="000000"/>
                      <w:szCs w:val="24"/>
                      <w:vertAlign w:val="superscript"/>
                      <w:lang w:eastAsia="lt-LT"/>
                    </w:rPr>
                    <w:t>2</w:t>
                  </w:r>
                  <w:r>
                    <w:rPr>
                      <w:color w:val="000000"/>
                      <w:szCs w:val="24"/>
                      <w:lang w:eastAsia="lt-LT"/>
                    </w:rPr>
                    <w:t xml:space="preserve"> punktu ir jį išdėstyti taip:</w:t>
                  </w:r>
                </w:p>
                <w:sdt>
                  <w:sdtPr>
                    <w:alias w:val="citata"/>
                    <w:tag w:val="part_7a039c6c50cd4f10966fa79c5d6aeddc"/>
                    <w:id w:val="-797843652"/>
                    <w:lock w:val="sdtLocked"/>
                  </w:sdtPr>
                  <w:sdtEndPr/>
                  <w:sdtContent>
                    <w:sdt>
                      <w:sdtPr>
                        <w:alias w:val="107-2 p."/>
                        <w:tag w:val="part_15456c9fa90c43e896b8fea3556be2c6"/>
                        <w:id w:val="-31116804"/>
                        <w:lock w:val="sdtLocked"/>
                      </w:sdtPr>
                      <w:sdtEndPr/>
                      <w:sdtContent>
                        <w:p w14:paraId="66E90082" w14:textId="2671FFC6" w:rsidR="001635FD" w:rsidRDefault="004A234A">
                          <w:pPr>
                            <w:ind w:firstLine="720"/>
                            <w:jc w:val="both"/>
                            <w:rPr>
                              <w:color w:val="000000"/>
                              <w:szCs w:val="24"/>
                              <w:lang w:val="en-US" w:eastAsia="lt-LT"/>
                            </w:rPr>
                          </w:pPr>
                          <w:r>
                            <w:rPr>
                              <w:color w:val="000000"/>
                              <w:szCs w:val="24"/>
                              <w:lang w:eastAsia="lt-LT"/>
                            </w:rPr>
                            <w:t>„</w:t>
                          </w:r>
                          <w:sdt>
                            <w:sdtPr>
                              <w:alias w:val="Numeris"/>
                              <w:tag w:val="nr_15456c9fa90c43e896b8fea3556be2c6"/>
                              <w:id w:val="371818710"/>
                              <w:lock w:val="sdtLocked"/>
                            </w:sdtPr>
                            <w:sdtEndPr/>
                            <w:sdtContent>
                              <w:r>
                                <w:rPr>
                                  <w:bCs/>
                                  <w:color w:val="000000"/>
                                  <w:szCs w:val="24"/>
                                  <w:lang w:eastAsia="lt-LT"/>
                                </w:rPr>
                                <w:t>107</w:t>
                              </w:r>
                              <w:r>
                                <w:rPr>
                                  <w:bCs/>
                                  <w:color w:val="000000"/>
                                  <w:szCs w:val="24"/>
                                  <w:vertAlign w:val="superscript"/>
                                  <w:lang w:eastAsia="lt-LT"/>
                                </w:rPr>
                                <w:t>2</w:t>
                              </w:r>
                            </w:sdtContent>
                          </w:sdt>
                          <w:r>
                            <w:rPr>
                              <w:bCs/>
                              <w:color w:val="000000"/>
                              <w:szCs w:val="24"/>
                              <w:lang w:eastAsia="lt-LT"/>
                            </w:rPr>
                            <w:t>. Kai visuomeninis tiekėjas teikia visuomeninio tiekimo paslaugą kelių skirstymo tinklų operatorių licencijuojamose veiklos teritorijose, nustatant visuomeninės elektros energijos kainos viršutinę</w:t>
                          </w:r>
                          <w:r>
                            <w:rPr>
                              <w:bCs/>
                              <w:color w:val="000000"/>
                              <w:szCs w:val="24"/>
                              <w:lang w:eastAsia="lt-LT"/>
                            </w:rPr>
                            <w:t xml:space="preserve"> ribą, </w:t>
                          </w:r>
                          <w:r>
                            <w:rPr>
                              <w:bCs/>
                              <w:i/>
                              <w:iCs/>
                              <w:color w:val="000000"/>
                              <w:szCs w:val="24"/>
                              <w:lang w:eastAsia="lt-LT"/>
                            </w:rPr>
                            <w:t>t</w:t>
                          </w:r>
                          <w:r>
                            <w:rPr>
                              <w:bCs/>
                              <w:color w:val="000000"/>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color w:val="000000"/>
                              <w:szCs w:val="24"/>
                              <w:lang w:eastAsia="lt-LT"/>
                            </w:rPr>
                            <w:t>Skirtumas v</w:t>
                          </w:r>
                          <w:r>
                            <w:rPr>
                              <w:color w:val="000000"/>
                              <w:szCs w:val="24"/>
                              <w:lang w:eastAsia="lt-LT"/>
                            </w:rPr>
                            <w:t>isuomeninio tiekėjo visuomeninės elektros energijos kainos viršutinėje riboje taikytų ir faktinių elektros energijos skirstymo paslaugų VĮ ir ŽĮ tinkluose kainų viršutinių ribų</w:t>
                          </w:r>
                          <w:r>
                            <w:rPr>
                              <w:bCs/>
                              <w:color w:val="000000"/>
                              <w:szCs w:val="24"/>
                              <w:lang w:eastAsia="lt-LT"/>
                            </w:rPr>
                            <w:t>, visuomeniniam tiekėjui veikiant kelių skirstomųjų tinklų operatorių licencijuo</w:t>
                          </w:r>
                          <w:r>
                            <w:rPr>
                              <w:bCs/>
                              <w:color w:val="000000"/>
                              <w:szCs w:val="24"/>
                              <w:lang w:eastAsia="lt-LT"/>
                            </w:rPr>
                            <w:t xml:space="preserve">jamos veiklos teritorijose,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metais yra apskaičiuojamas pagal Metodikos 111</w:t>
                          </w:r>
                          <w:r>
                            <w:rPr>
                              <w:bCs/>
                              <w:color w:val="000000"/>
                              <w:szCs w:val="24"/>
                              <w:vertAlign w:val="superscript"/>
                              <w:lang w:eastAsia="lt-LT"/>
                            </w:rPr>
                            <w:t>2</w:t>
                          </w:r>
                          <w:r>
                            <w:rPr>
                              <w:bCs/>
                              <w:color w:val="000000"/>
                              <w:szCs w:val="24"/>
                              <w:lang w:eastAsia="lt-LT"/>
                            </w:rPr>
                            <w:t xml:space="preserve"> punkte nustatytą formulę ir kompensuojamas Metodikos 107 punkte numatyta tvarka.</w:t>
                          </w:r>
                          <w:r>
                            <w:rPr>
                              <w:color w:val="000000"/>
                              <w:szCs w:val="24"/>
                              <w:lang w:eastAsia="lt-LT"/>
                            </w:rPr>
                            <w:t>“</w:t>
                          </w:r>
                        </w:p>
                      </w:sdtContent>
                    </w:sdt>
                  </w:sdtContent>
                </w:sdt>
              </w:sdtContent>
            </w:sdt>
            <w:sdt>
              <w:sdtPr>
                <w:alias w:val="1.9 pp."/>
                <w:tag w:val="part_c4e0bb811a5944a2ba2ca95ab49f7830"/>
                <w:id w:val="1882592338"/>
                <w:lock w:val="sdtLocked"/>
              </w:sdtPr>
              <w:sdtEndPr/>
              <w:sdtContent>
                <w:p w14:paraId="15A05666" w14:textId="3754EFE2" w:rsidR="001635FD" w:rsidRDefault="004A234A">
                  <w:pPr>
                    <w:ind w:firstLine="709"/>
                    <w:jc w:val="both"/>
                    <w:rPr>
                      <w:szCs w:val="24"/>
                      <w:lang w:eastAsia="lt-LT"/>
                    </w:rPr>
                  </w:pPr>
                  <w:sdt>
                    <w:sdtPr>
                      <w:alias w:val="Numeris"/>
                      <w:tag w:val="nr_c4e0bb811a5944a2ba2ca95ab49f7830"/>
                      <w:id w:val="-1225751303"/>
                      <w:lock w:val="sdtLocked"/>
                    </w:sdtPr>
                    <w:sdtEndPr/>
                    <w:sdtContent>
                      <w:r>
                        <w:rPr>
                          <w:szCs w:val="24"/>
                          <w:lang w:eastAsia="lt-LT"/>
                        </w:rPr>
                        <w:t>1.9</w:t>
                      </w:r>
                    </w:sdtContent>
                  </w:sdt>
                  <w:r>
                    <w:rPr>
                      <w:szCs w:val="24"/>
                      <w:lang w:eastAsia="lt-LT"/>
                    </w:rPr>
                    <w:t xml:space="preserve">. Papildyti </w:t>
                  </w:r>
                  <w:r>
                    <w:rPr>
                      <w:color w:val="000000"/>
                      <w:szCs w:val="24"/>
                      <w:lang w:eastAsia="lt-LT"/>
                    </w:rPr>
                    <w:t xml:space="preserve">Metodiką </w:t>
                  </w:r>
                  <w:r>
                    <w:rPr>
                      <w:szCs w:val="24"/>
                      <w:lang w:eastAsia="lt-LT"/>
                    </w:rPr>
                    <w:t>109</w:t>
                  </w:r>
                  <w:r>
                    <w:rPr>
                      <w:szCs w:val="24"/>
                      <w:vertAlign w:val="superscript"/>
                      <w:lang w:eastAsia="lt-LT"/>
                    </w:rPr>
                    <w:t>1</w:t>
                  </w:r>
                  <w:r>
                    <w:rPr>
                      <w:szCs w:val="24"/>
                      <w:lang w:eastAsia="lt-LT"/>
                    </w:rPr>
                    <w:t xml:space="preserve"> punktu</w:t>
                  </w:r>
                  <w:r>
                    <w:rPr>
                      <w:color w:val="000000"/>
                      <w:szCs w:val="24"/>
                      <w:lang w:eastAsia="lt-LT"/>
                    </w:rPr>
                    <w:t xml:space="preserve"> ir jį išdėstyti taip</w:t>
                  </w:r>
                  <w:r>
                    <w:rPr>
                      <w:szCs w:val="24"/>
                      <w:lang w:eastAsia="lt-LT"/>
                    </w:rPr>
                    <w:t>:</w:t>
                  </w:r>
                </w:p>
                <w:sdt>
                  <w:sdtPr>
                    <w:alias w:val="citata"/>
                    <w:tag w:val="part_7a0ae9ad38834891ba61b2fbf36bd884"/>
                    <w:id w:val="-520780772"/>
                    <w:lock w:val="sdtLocked"/>
                  </w:sdtPr>
                  <w:sdtEndPr/>
                  <w:sdtContent>
                    <w:sdt>
                      <w:sdtPr>
                        <w:alias w:val="109-1 p."/>
                        <w:tag w:val="part_e20636dafac2453dbac5b4b3ce3d1e26"/>
                        <w:id w:val="-1126236944"/>
                        <w:lock w:val="sdtLocked"/>
                      </w:sdtPr>
                      <w:sdtEndPr/>
                      <w:sdtContent>
                        <w:p w14:paraId="7F3063BE" w14:textId="488810BC" w:rsidR="001635FD" w:rsidRDefault="004A234A">
                          <w:pPr>
                            <w:ind w:firstLine="709"/>
                            <w:jc w:val="both"/>
                            <w:rPr>
                              <w:bCs/>
                              <w:szCs w:val="24"/>
                              <w:lang w:eastAsia="lt-LT"/>
                            </w:rPr>
                          </w:pPr>
                          <w:r>
                            <w:rPr>
                              <w:szCs w:val="24"/>
                              <w:lang w:eastAsia="lt-LT"/>
                            </w:rPr>
                            <w:t>„</w:t>
                          </w:r>
                          <w:sdt>
                            <w:sdtPr>
                              <w:alias w:val="Numeris"/>
                              <w:tag w:val="nr_e20636dafac2453dbac5b4b3ce3d1e26"/>
                              <w:id w:val="-1852251994"/>
                              <w:lock w:val="sdtLocked"/>
                            </w:sdtPr>
                            <w:sdtEndPr/>
                            <w:sdtContent>
                              <w:r>
                                <w:rPr>
                                  <w:bCs/>
                                  <w:szCs w:val="24"/>
                                  <w:lang w:eastAsia="lt-LT"/>
                                </w:rPr>
                                <w:t>109</w:t>
                              </w:r>
                              <w:r>
                                <w:rPr>
                                  <w:bCs/>
                                  <w:szCs w:val="24"/>
                                  <w:vertAlign w:val="superscript"/>
                                  <w:lang w:eastAsia="lt-LT"/>
                                </w:rPr>
                                <w:t>1</w:t>
                              </w:r>
                            </w:sdtContent>
                          </w:sdt>
                          <w:r>
                            <w:rPr>
                              <w:bCs/>
                              <w:szCs w:val="24"/>
                              <w:lang w:eastAsia="lt-LT"/>
                            </w:rPr>
                            <w:t xml:space="preserve">. Kai pagal Metodikos 109 punktą apskaičiuotas </w:t>
                          </w:r>
                          <w:r>
                            <w:rPr>
                              <w:bCs/>
                              <w:color w:val="000000"/>
                              <w:szCs w:val="24"/>
                              <w:lang w:eastAsia="lt-LT"/>
                            </w:rPr>
                            <w:t>prognozuotos elektros energijos įsigijimo kainos ir faktinės elektros energijos įsigijimo kainos</w:t>
                          </w:r>
                          <w:r>
                            <w:rPr>
                              <w:bCs/>
                              <w:szCs w:val="24"/>
                              <w:lang w:eastAsia="lt-LT"/>
                            </w:rPr>
                            <w:t xml:space="preserve">, kurią faktiškai mokėjo visuomeninis tiekėjas, </w:t>
                          </w:r>
                          <w:r>
                            <w:rPr>
                              <w:bCs/>
                              <w:color w:val="000000"/>
                              <w:szCs w:val="24"/>
                              <w:lang w:eastAsia="lt-LT"/>
                            </w:rPr>
                            <w:t>skirtumas sudaro daugiau nei 10 proc. prognozuotos elektros energ</w:t>
                          </w:r>
                          <w:r>
                            <w:rPr>
                              <w:bCs/>
                              <w:color w:val="000000"/>
                              <w:szCs w:val="24"/>
                              <w:lang w:eastAsia="lt-LT"/>
                            </w:rPr>
                            <w:t xml:space="preserve">ijos įsigijimo kainos, </w:t>
                          </w:r>
                          <w:r>
                            <w:rPr>
                              <w:bCs/>
                              <w:color w:val="000000"/>
                              <w:szCs w:val="24"/>
                              <w:lang w:eastAsia="lt-LT"/>
                            </w:rPr>
                            <w:lastRenderedPageBreak/>
                            <w:t xml:space="preserve">įvertinusi visuomeninio tiekėjo teikimą </w:t>
                          </w:r>
                          <w:r>
                            <w:rPr>
                              <w:bCs/>
                              <w:szCs w:val="24"/>
                              <w:lang w:eastAsia="lt-LT"/>
                            </w:rPr>
                            <w:t>Reguliuojančiosios institucijos motyvuotu sprendimu šį skirtumą gali išdėstyti per ilgesnį nei vienerių metų laikotarpį, bet ne ilgesnį, kaip 3 metai arba kitą pagrįstą laikotarpį.</w:t>
                          </w:r>
                          <w:r>
                            <w:rPr>
                              <w:szCs w:val="24"/>
                              <w:lang w:eastAsia="lt-LT"/>
                            </w:rPr>
                            <w:t>“</w:t>
                          </w:r>
                        </w:p>
                      </w:sdtContent>
                    </w:sdt>
                  </w:sdtContent>
                </w:sdt>
              </w:sdtContent>
            </w:sdt>
            <w:sdt>
              <w:sdtPr>
                <w:alias w:val="1.10 pp."/>
                <w:tag w:val="part_885bf20024b441f69baefb2319a7deab"/>
                <w:id w:val="1513871897"/>
                <w:lock w:val="sdtLocked"/>
              </w:sdtPr>
              <w:sdtEndPr/>
              <w:sdtContent>
                <w:p w14:paraId="22876A25" w14:textId="5EAA686D" w:rsidR="001635FD" w:rsidRDefault="004A234A">
                  <w:pPr>
                    <w:ind w:firstLine="709"/>
                    <w:jc w:val="both"/>
                    <w:rPr>
                      <w:szCs w:val="24"/>
                      <w:lang w:eastAsia="lt-LT"/>
                    </w:rPr>
                  </w:pPr>
                  <w:sdt>
                    <w:sdtPr>
                      <w:alias w:val="Numeris"/>
                      <w:tag w:val="nr_885bf20024b441f69baefb2319a7deab"/>
                      <w:id w:val="-539513105"/>
                      <w:lock w:val="sdtLocked"/>
                    </w:sdtPr>
                    <w:sdtEndPr/>
                    <w:sdtContent>
                      <w:r>
                        <w:rPr>
                          <w:szCs w:val="24"/>
                          <w:lang w:eastAsia="lt-LT"/>
                        </w:rPr>
                        <w:t>1.10</w:t>
                      </w:r>
                    </w:sdtContent>
                  </w:sdt>
                  <w:r>
                    <w:rPr>
                      <w:szCs w:val="24"/>
                      <w:lang w:eastAsia="lt-LT"/>
                    </w:rPr>
                    <w:t xml:space="preserve">. Papildyti </w:t>
                  </w:r>
                  <w:r>
                    <w:rPr>
                      <w:color w:val="000000"/>
                      <w:szCs w:val="24"/>
                      <w:lang w:eastAsia="lt-LT"/>
                    </w:rPr>
                    <w:t xml:space="preserve">Metodiką </w:t>
                  </w:r>
                  <w:r>
                    <w:rPr>
                      <w:szCs w:val="24"/>
                      <w:lang w:eastAsia="lt-LT"/>
                    </w:rPr>
                    <w:t>109</w:t>
                  </w:r>
                  <w:r>
                    <w:rPr>
                      <w:szCs w:val="24"/>
                      <w:vertAlign w:val="superscript"/>
                      <w:lang w:eastAsia="lt-LT"/>
                    </w:rPr>
                    <w:t xml:space="preserve">2 </w:t>
                  </w:r>
                  <w:r>
                    <w:rPr>
                      <w:szCs w:val="24"/>
                      <w:lang w:eastAsia="lt-LT"/>
                    </w:rPr>
                    <w:t>punktu</w:t>
                  </w:r>
                  <w:r>
                    <w:rPr>
                      <w:color w:val="000000"/>
                      <w:szCs w:val="24"/>
                      <w:lang w:eastAsia="lt-LT"/>
                    </w:rPr>
                    <w:t xml:space="preserve"> ir jį išdėstyti taip</w:t>
                  </w:r>
                  <w:r>
                    <w:rPr>
                      <w:szCs w:val="24"/>
                      <w:lang w:eastAsia="lt-LT"/>
                    </w:rPr>
                    <w:t>:</w:t>
                  </w:r>
                </w:p>
                <w:sdt>
                  <w:sdtPr>
                    <w:alias w:val="citata"/>
                    <w:tag w:val="part_a0e92e671e344af38a097483ed1d9125"/>
                    <w:id w:val="-154541509"/>
                    <w:lock w:val="sdtLocked"/>
                  </w:sdtPr>
                  <w:sdtEndPr/>
                  <w:sdtContent>
                    <w:sdt>
                      <w:sdtPr>
                        <w:alias w:val="109-2 p."/>
                        <w:tag w:val="part_4056d78884684466944c53a567058262"/>
                        <w:id w:val="-554781581"/>
                        <w:lock w:val="sdtLocked"/>
                      </w:sdtPr>
                      <w:sdtEndPr/>
                      <w:sdtContent>
                        <w:p w14:paraId="51D49A29" w14:textId="664C7601" w:rsidR="001635FD" w:rsidRDefault="004A234A">
                          <w:pPr>
                            <w:ind w:firstLine="709"/>
                            <w:jc w:val="both"/>
                            <w:rPr>
                              <w:szCs w:val="24"/>
                              <w:lang w:eastAsia="lt-LT"/>
                            </w:rPr>
                          </w:pPr>
                          <w:r>
                            <w:rPr>
                              <w:szCs w:val="24"/>
                              <w:lang w:eastAsia="lt-LT"/>
                            </w:rPr>
                            <w:t>„</w:t>
                          </w:r>
                          <w:sdt>
                            <w:sdtPr>
                              <w:alias w:val="Numeris"/>
                              <w:tag w:val="nr_4056d78884684466944c53a567058262"/>
                              <w:id w:val="1956601707"/>
                              <w:lock w:val="sdtLocked"/>
                            </w:sdtPr>
                            <w:sdtEndPr/>
                            <w:sdtContent>
                              <w:r>
                                <w:rPr>
                                  <w:bCs/>
                                  <w:szCs w:val="24"/>
                                  <w:lang w:eastAsia="lt-LT"/>
                                </w:rPr>
                                <w:t>109</w:t>
                              </w:r>
                              <w:r>
                                <w:rPr>
                                  <w:bCs/>
                                  <w:szCs w:val="24"/>
                                  <w:vertAlign w:val="superscript"/>
                                  <w:lang w:eastAsia="lt-LT"/>
                                </w:rPr>
                                <w:t>2</w:t>
                              </w:r>
                            </w:sdtContent>
                          </w:sdt>
                          <w:r>
                            <w:rPr>
                              <w:bCs/>
                              <w:szCs w:val="24"/>
                              <w:lang w:eastAsia="lt-LT"/>
                            </w:rPr>
                            <w:t xml:space="preserve">. </w:t>
                          </w:r>
                          <w:r>
                            <w:rPr>
                              <w:szCs w:val="24"/>
                              <w:lang w:eastAsia="lt-LT"/>
                            </w:rPr>
                            <w:t xml:space="preserve">Kai dėl prognozuotos elektros energijos įsigijimo kainos ir faktinės elektros energijos įsigijimo kainos, kurią faktiškai mokėjo visuomeninis tiekėjas, skirtumo, apskaičiuoto pagal Metodikos </w:t>
                          </w:r>
                          <w:r>
                            <w:rPr>
                              <w:szCs w:val="24"/>
                              <w:lang w:eastAsia="lt-LT"/>
                            </w:rPr>
                            <w:t>109 punktą, visuomeninis tiekėjas gavo papildomas pajamas ir šių pajamų grąžinimas išdėstomas per ilgesnį nei vienerių metų laikotarpį, įvertinama pinigų kaina. Pinigų kainos nustatymui taikoma Lietuvos banko pinigų finansų įstaigų paskolų euro zonos ne fi</w:t>
                          </w:r>
                          <w:r>
                            <w:rPr>
                              <w:szCs w:val="24"/>
                              <w:lang w:eastAsia="lt-LT"/>
                            </w:rPr>
                            <w:t>nansų bendrovėms likučių palūkanų normos svertinis vidurkis už paskutinius paskelbtus 12 mėnesių iki Metodikos 115 punkte nurodyto termino.“</w:t>
                          </w:r>
                        </w:p>
                      </w:sdtContent>
                    </w:sdt>
                  </w:sdtContent>
                </w:sdt>
              </w:sdtContent>
            </w:sdt>
            <w:sdt>
              <w:sdtPr>
                <w:alias w:val="1.11 pp."/>
                <w:tag w:val="part_859c3e44cd2642d483589ed6a6a079b0"/>
                <w:id w:val="1080182329"/>
                <w:lock w:val="sdtLocked"/>
              </w:sdtPr>
              <w:sdtEndPr/>
              <w:sdtContent>
                <w:p w14:paraId="1B641A2B" w14:textId="00F5A93D" w:rsidR="001635FD" w:rsidRDefault="004A234A">
                  <w:pPr>
                    <w:ind w:firstLine="720"/>
                    <w:jc w:val="both"/>
                    <w:rPr>
                      <w:color w:val="000000"/>
                      <w:szCs w:val="24"/>
                      <w:lang w:eastAsia="lt-LT"/>
                    </w:rPr>
                  </w:pPr>
                  <w:sdt>
                    <w:sdtPr>
                      <w:alias w:val="Numeris"/>
                      <w:tag w:val="nr_859c3e44cd2642d483589ed6a6a079b0"/>
                      <w:id w:val="1342125970"/>
                      <w:lock w:val="sdtLocked"/>
                    </w:sdtPr>
                    <w:sdtEndPr/>
                    <w:sdtContent>
                      <w:r>
                        <w:rPr>
                          <w:color w:val="000000"/>
                          <w:szCs w:val="24"/>
                          <w:lang w:eastAsia="lt-LT"/>
                        </w:rPr>
                        <w:t>1.11</w:t>
                      </w:r>
                    </w:sdtContent>
                  </w:sdt>
                  <w:r>
                    <w:rPr>
                      <w:color w:val="000000"/>
                      <w:szCs w:val="24"/>
                      <w:lang w:eastAsia="lt-LT"/>
                    </w:rPr>
                    <w:t>. Pripažinti netekusiu galios Metodikos 111 punktą.</w:t>
                  </w:r>
                </w:p>
              </w:sdtContent>
            </w:sdt>
            <w:sdt>
              <w:sdtPr>
                <w:alias w:val="1.12 pp."/>
                <w:tag w:val="part_d849aaafd4a54284992263ef1c0a021d"/>
                <w:id w:val="22908809"/>
                <w:lock w:val="sdtLocked"/>
              </w:sdtPr>
              <w:sdtEndPr/>
              <w:sdtContent>
                <w:p w14:paraId="50B3D203" w14:textId="07253441" w:rsidR="001635FD" w:rsidRDefault="004A234A">
                  <w:pPr>
                    <w:ind w:firstLine="709"/>
                    <w:jc w:val="both"/>
                    <w:rPr>
                      <w:szCs w:val="24"/>
                      <w:lang w:eastAsia="lt-LT"/>
                    </w:rPr>
                  </w:pPr>
                  <w:sdt>
                    <w:sdtPr>
                      <w:alias w:val="Numeris"/>
                      <w:tag w:val="nr_d849aaafd4a54284992263ef1c0a021d"/>
                      <w:id w:val="1223018465"/>
                      <w:lock w:val="sdtLocked"/>
                    </w:sdtPr>
                    <w:sdtEndPr/>
                    <w:sdtContent>
                      <w:r>
                        <w:rPr>
                          <w:szCs w:val="24"/>
                          <w:lang w:eastAsia="lt-LT"/>
                        </w:rPr>
                        <w:t>1.12</w:t>
                      </w:r>
                    </w:sdtContent>
                  </w:sdt>
                  <w:r>
                    <w:rPr>
                      <w:szCs w:val="24"/>
                      <w:lang w:eastAsia="lt-LT"/>
                    </w:rPr>
                    <w:t xml:space="preserve">. Papildyti </w:t>
                  </w:r>
                  <w:r>
                    <w:rPr>
                      <w:color w:val="000000"/>
                      <w:szCs w:val="24"/>
                      <w:lang w:eastAsia="lt-LT"/>
                    </w:rPr>
                    <w:t xml:space="preserve">Metodiką </w:t>
                  </w:r>
                  <w:r>
                    <w:rPr>
                      <w:szCs w:val="24"/>
                      <w:lang w:eastAsia="lt-LT"/>
                    </w:rPr>
                    <w:t>111</w:t>
                  </w:r>
                  <w:r>
                    <w:rPr>
                      <w:szCs w:val="24"/>
                      <w:vertAlign w:val="superscript"/>
                      <w:lang w:eastAsia="lt-LT"/>
                    </w:rPr>
                    <w:t>2</w:t>
                  </w:r>
                  <w:r>
                    <w:rPr>
                      <w:szCs w:val="24"/>
                      <w:lang w:eastAsia="lt-LT"/>
                    </w:rPr>
                    <w:t xml:space="preserve"> punktu</w:t>
                  </w:r>
                  <w:r>
                    <w:rPr>
                      <w:color w:val="000000"/>
                      <w:szCs w:val="24"/>
                      <w:lang w:eastAsia="lt-LT"/>
                    </w:rPr>
                    <w:t xml:space="preserve"> ir jį išdė</w:t>
                  </w:r>
                  <w:r>
                    <w:rPr>
                      <w:color w:val="000000"/>
                      <w:szCs w:val="24"/>
                      <w:lang w:eastAsia="lt-LT"/>
                    </w:rPr>
                    <w:t>styti taip</w:t>
                  </w:r>
                  <w:r>
                    <w:rPr>
                      <w:szCs w:val="24"/>
                      <w:lang w:eastAsia="lt-LT"/>
                    </w:rPr>
                    <w:t>:</w:t>
                  </w:r>
                </w:p>
                <w:sdt>
                  <w:sdtPr>
                    <w:alias w:val="citata"/>
                    <w:tag w:val="part_e2d1f209818547bfb5147dc077ae64eb"/>
                    <w:id w:val="1494225609"/>
                    <w:lock w:val="sdtLocked"/>
                  </w:sdtPr>
                  <w:sdtEndPr/>
                  <w:sdtContent>
                    <w:sdt>
                      <w:sdtPr>
                        <w:alias w:val="111-2 p."/>
                        <w:tag w:val="part_ad0bc14a91ca4e9f9a7c803bd06429eb"/>
                        <w:id w:val="1233424068"/>
                        <w:lock w:val="sdtLocked"/>
                      </w:sdtPr>
                      <w:sdtEndPr/>
                      <w:sdtContent>
                        <w:p w14:paraId="1565F023" w14:textId="7C5712BE" w:rsidR="001635FD" w:rsidRDefault="004A234A">
                          <w:pPr>
                            <w:ind w:firstLine="709"/>
                            <w:jc w:val="both"/>
                            <w:rPr>
                              <w:bCs/>
                              <w:szCs w:val="24"/>
                              <w:lang w:val="en-US" w:eastAsia="lt-LT"/>
                            </w:rPr>
                          </w:pPr>
                          <w:r>
                            <w:rPr>
                              <w:szCs w:val="24"/>
                              <w:lang w:eastAsia="lt-LT"/>
                            </w:rPr>
                            <w:t>„</w:t>
                          </w:r>
                          <w:sdt>
                            <w:sdtPr>
                              <w:alias w:val="Numeris"/>
                              <w:tag w:val="nr_ad0bc14a91ca4e9f9a7c803bd06429eb"/>
                              <w:id w:val="2030138604"/>
                              <w:lock w:val="sdtLocked"/>
                            </w:sdtPr>
                            <w:sdtEnd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14:paraId="44E2CC3A" w14:textId="0A617218" w:rsidR="001635FD" w:rsidRDefault="001635FD">
                          <w:pPr>
                            <w:jc w:val="both"/>
                            <w:rPr>
                              <w:szCs w:val="24"/>
                            </w:rPr>
                          </w:pPr>
                        </w:p>
                        <w:p w14:paraId="7EC10659" w14:textId="6E5A19CF" w:rsidR="001635FD" w:rsidRDefault="004A234A">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m:t>
                                </m:r>
                                <m:r>
                                  <w:rPr>
                                    <w:rFonts w:ascii="Cambria Math" w:hAnsi="Cambria Math"/>
                                    <w:szCs w:val="24"/>
                                    <w:lang w:val="en-US"/>
                                  </w:rPr>
                                  <m:t>t</m:t>
                                </m:r>
                                <m:r>
                                  <w:rPr>
                                    <w:rFonts w:ascii="Cambria Math" w:hAnsi="Cambria Math"/>
                                    <w:szCs w:val="24"/>
                                    <w:lang w:val="en-US"/>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bCs/>
                              <w:color w:val="000000"/>
                              <w:szCs w:val="24"/>
                              <w:lang w:eastAsia="lt-LT"/>
                            </w:rPr>
                            <w:t>(67)</w:t>
                          </w:r>
                        </w:p>
                        <w:p w14:paraId="7B20BBB3" w14:textId="47A003B4" w:rsidR="001635FD" w:rsidRDefault="001635FD">
                          <w:pPr>
                            <w:jc w:val="both"/>
                            <w:rPr>
                              <w:szCs w:val="24"/>
                            </w:rPr>
                          </w:pPr>
                        </w:p>
                        <w:p w14:paraId="2A25080C" w14:textId="25A30BAD" w:rsidR="001635FD" w:rsidRDefault="004A234A">
                          <w:pPr>
                            <w:ind w:firstLine="709"/>
                            <w:jc w:val="both"/>
                            <w:rPr>
                              <w:bCs/>
                              <w:i/>
                              <w:iCs/>
                              <w:szCs w:val="24"/>
                            </w:rPr>
                          </w:pPr>
                          <w:r>
                            <w:rPr>
                              <w:bCs/>
                              <w:i/>
                              <w:iCs/>
                              <w:szCs w:val="24"/>
                            </w:rPr>
                            <w:t>čia:</w:t>
                          </w:r>
                        </w:p>
                        <w:p w14:paraId="2407A4E4" w14:textId="0B48AECC" w:rsidR="001635FD" w:rsidRDefault="004A234A">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w:t>
                          </w:r>
                          <w:r>
                            <w:rPr>
                              <w:color w:val="000000"/>
                              <w:szCs w:val="24"/>
                              <w:lang w:eastAsia="lt-LT"/>
                            </w:rPr>
                            <w:t xml:space="preserve">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w:t>
                          </w:r>
                          <w:proofErr w:type="spellStart"/>
                          <w:r>
                            <w:rPr>
                              <w:bCs/>
                              <w:color w:val="000000"/>
                              <w:szCs w:val="24"/>
                              <w:lang w:eastAsia="lt-LT"/>
                            </w:rPr>
                            <w:t>kWh</w:t>
                          </w:r>
                          <w:proofErr w:type="spellEnd"/>
                          <w:r>
                            <w:rPr>
                              <w:bCs/>
                              <w:color w:val="000000"/>
                              <w:szCs w:val="24"/>
                              <w:lang w:eastAsia="lt-LT"/>
                            </w:rPr>
                            <w:t>;</w:t>
                          </w:r>
                        </w:p>
                        <w:p w14:paraId="418069A5" w14:textId="53B7884B" w:rsidR="001635FD" w:rsidRDefault="004A234A">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metais, skirstymo sistemos o</w:t>
                          </w:r>
                          <w:r>
                            <w:rPr>
                              <w:bCs/>
                              <w:color w:val="000000"/>
                              <w:szCs w:val="24"/>
                              <w:lang w:eastAsia="lt-LT"/>
                            </w:rPr>
                            <w:t xml:space="preserve">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 xml:space="preserve">įvertinant elektros energijos skirstymo </w:t>
                          </w:r>
                          <w:r>
                            <w:rPr>
                              <w:bCs/>
                              <w:szCs w:val="24"/>
                              <w:lang w:eastAsia="lt-LT"/>
                            </w:rPr>
                            <w:t>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w:t>
                          </w:r>
                          <w:proofErr w:type="spellStart"/>
                          <w:r>
                            <w:rPr>
                              <w:bCs/>
                              <w:color w:val="000000"/>
                              <w:szCs w:val="24"/>
                              <w:lang w:eastAsia="lt-LT"/>
                            </w:rPr>
                            <w:t>kWh</w:t>
                          </w:r>
                          <w:proofErr w:type="spellEnd"/>
                          <w:r>
                            <w:rPr>
                              <w:bCs/>
                              <w:color w:val="000000"/>
                              <w:szCs w:val="24"/>
                              <w:lang w:eastAsia="lt-LT"/>
                            </w:rPr>
                            <w:t>;</w:t>
                          </w:r>
                        </w:p>
                        <w:p w14:paraId="7661B82E" w14:textId="6694D68F" w:rsidR="001635FD" w:rsidRDefault="004A234A">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w:t>
                          </w:r>
                          <w:r>
                            <w:rPr>
                              <w:bCs/>
                              <w:color w:val="000000"/>
                              <w:szCs w:val="24"/>
                              <w:lang w:eastAsia="lt-LT"/>
                            </w:rPr>
                            <w:t xml:space="preserve">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w:t>
                          </w:r>
                          <w:proofErr w:type="spellStart"/>
                          <w:r>
                            <w:rPr>
                              <w:bCs/>
                              <w:szCs w:val="24"/>
                              <w:lang w:eastAsia="lt-LT"/>
                            </w:rPr>
                            <w:t>kWh</w:t>
                          </w:r>
                          <w:proofErr w:type="spellEnd"/>
                          <w:r>
                            <w:rPr>
                              <w:bCs/>
                              <w:szCs w:val="24"/>
                              <w:lang w:eastAsia="lt-LT"/>
                            </w:rPr>
                            <w:t xml:space="preserve">, </w:t>
                          </w:r>
                          <w:r>
                            <w:rPr>
                              <w:color w:val="000000"/>
                              <w:szCs w:val="24"/>
                              <w:lang w:eastAsia="lt-LT"/>
                            </w:rPr>
                            <w:t xml:space="preserve">įvertinant skirstymo paslaugos teikimo sąnaudų priskyrimo </w:t>
                          </w:r>
                          <w:r>
                            <w:rPr>
                              <w:color w:val="000000"/>
                              <w:szCs w:val="24"/>
                              <w:lang w:eastAsia="lt-LT"/>
                            </w:rPr>
                            <w:t>buitiniams vartotojams koeficientą, kurio reikšmė lygi 1,3. Skirstomųjų tinklų operatoriui diferencijuojant persiuntimo paslaugos kainas vartotojams reikšmė nuosekliai didinama iki 2020 m., tačiau negali viršyti 1,3. Reguliuojančiajai institucijai nustačiu</w:t>
                          </w:r>
                          <w:r>
                            <w:rPr>
                              <w:color w:val="000000"/>
                              <w:szCs w:val="24"/>
                              <w:lang w:eastAsia="lt-LT"/>
                            </w:rPr>
                            <w:t>s naują skirstymo veiklos reguliavimo periodą, skirstomųjų tinklų operatoriui diferencijuojant persiuntimo paslaugos kainas vartotojams reikšmė reguliavimo periodu nuosekliai didinama iki reikšmės, ne didesnės kaip 1,4.</w:t>
                          </w:r>
                        </w:p>
                        <w:p w14:paraId="7220EEF8" w14:textId="6BFC5AD7" w:rsidR="001635FD" w:rsidRDefault="004A234A">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w:t>
                          </w:r>
                          <w:r>
                            <w:rPr>
                              <w:bCs/>
                              <w:color w:val="000000"/>
                              <w:szCs w:val="24"/>
                              <w:lang w:eastAsia="lt-LT"/>
                            </w:rPr>
                            <w:t>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w:t>
                          </w:r>
                          <w:r>
                            <w:rPr>
                              <w:bCs/>
                              <w:color w:val="000000"/>
                              <w:szCs w:val="24"/>
                              <w:lang w:eastAsia="lt-LT"/>
                            </w:rPr>
                            <w:t>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w:t>
                          </w:r>
                          <w:proofErr w:type="spellStart"/>
                          <w:r>
                            <w:rPr>
                              <w:bCs/>
                              <w:color w:val="000000"/>
                              <w:szCs w:val="24"/>
                              <w:lang w:eastAsia="lt-LT"/>
                            </w:rPr>
                            <w:t>kWh</w:t>
                          </w:r>
                          <w:proofErr w:type="spellEnd"/>
                          <w:r>
                            <w:rPr>
                              <w:bCs/>
                              <w:color w:val="000000"/>
                              <w:szCs w:val="24"/>
                              <w:lang w:eastAsia="lt-LT"/>
                            </w:rPr>
                            <w:t>;</w:t>
                          </w:r>
                        </w:p>
                        <w:p w14:paraId="747CA28B" w14:textId="56126CC1" w:rsidR="001635FD" w:rsidRDefault="004A234A">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elektros energijos skirstymo paslaugos ŽĮ tinklais kainos viršuti</w:t>
                          </w:r>
                          <w:r>
                            <w:rPr>
                              <w:bCs/>
                              <w:szCs w:val="24"/>
                              <w:lang w:eastAsia="lt-LT"/>
                            </w:rPr>
                            <w:t xml:space="preserve">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 xml:space="preserve">elektros energijos skirstymo paslaugos ŽĮ tinklais </w:t>
                          </w:r>
                          <w:r>
                            <w:rPr>
                              <w:bCs/>
                              <w:szCs w:val="24"/>
                              <w:lang w:eastAsia="lt-LT"/>
                            </w:rPr>
                            <w:lastRenderedPageBreak/>
                            <w:t>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w:t>
                          </w:r>
                          <w:proofErr w:type="spellStart"/>
                          <w:r>
                            <w:rPr>
                              <w:bCs/>
                              <w:szCs w:val="24"/>
                              <w:lang w:eastAsia="lt-LT"/>
                            </w:rPr>
                            <w:t>kWh</w:t>
                          </w:r>
                          <w:proofErr w:type="spellEnd"/>
                          <w:r>
                            <w:rPr>
                              <w:bCs/>
                              <w:szCs w:val="24"/>
                              <w:lang w:eastAsia="lt-LT"/>
                            </w:rPr>
                            <w:t xml:space="preserve">, </w:t>
                          </w:r>
                          <w:r>
                            <w:rPr>
                              <w:color w:val="000000"/>
                              <w:szCs w:val="24"/>
                              <w:lang w:eastAsia="lt-LT"/>
                            </w:rPr>
                            <w:t>įvertin</w:t>
                          </w:r>
                          <w:r>
                            <w:rPr>
                              <w:color w:val="000000"/>
                              <w:szCs w:val="24"/>
                              <w:lang w:eastAsia="lt-LT"/>
                            </w:rPr>
                            <w:t>ant skirstymo paslaugos teikimo sąnaudų priskyrimo buitiniams vartotojams koeficientą, kurio reikšmė lygi 1,3. Skirstomųjų tinklų operatoriui diferencijuojant persiuntimo paslaugos kainas vartotojams reikšmė nuosekliai didinama iki 2020 m., tačiau negali v</w:t>
                          </w:r>
                          <w:r>
                            <w:rPr>
                              <w:color w:val="000000"/>
                              <w:szCs w:val="24"/>
                              <w:lang w:eastAsia="lt-LT"/>
                            </w:rPr>
                            <w:t>iršyti 1,3. Reguliuojančiajai institucijai nustačius naują skirstymo veiklos reguliavimo periodą, skirstomųjų tinklų operatoriui diferencijuojant persiuntimo paslaugos kainas vartotojams reikšmė reguliavimo periodu nuosekliai didinama iki reikšmės, ne dide</w:t>
                          </w:r>
                          <w:r>
                            <w:rPr>
                              <w:color w:val="000000"/>
                              <w:szCs w:val="24"/>
                              <w:lang w:eastAsia="lt-LT"/>
                            </w:rPr>
                            <w:t>snės kaip 1,4.</w:t>
                          </w:r>
                        </w:p>
                        <w:p w14:paraId="74C070B9" w14:textId="74C353DC" w:rsidR="001635FD" w:rsidRDefault="004A234A">
                          <w:pPr>
                            <w:ind w:firstLine="720"/>
                            <w:jc w:val="both"/>
                            <w:rPr>
                              <w:bCs/>
                              <w:color w:val="000000"/>
                              <w:szCs w:val="24"/>
                              <w:lang w:eastAsia="lt-LT"/>
                            </w:rPr>
                          </w:pPr>
                          <w:proofErr w:type="spellStart"/>
                          <w:r>
                            <w:rPr>
                              <w:bCs/>
                              <w:color w:val="000000"/>
                              <w:szCs w:val="24"/>
                              <w:lang w:eastAsia="lt-LT"/>
                            </w:rPr>
                            <w:t>E</w:t>
                          </w:r>
                          <w:r>
                            <w:rPr>
                              <w:bCs/>
                              <w:color w:val="000000"/>
                              <w:szCs w:val="24"/>
                              <w:vertAlign w:val="subscript"/>
                              <w:lang w:eastAsia="lt-LT"/>
                            </w:rPr>
                            <w:t>vt</w:t>
                          </w:r>
                          <w:proofErr w:type="spellEnd"/>
                          <w:r>
                            <w:rPr>
                              <w:bCs/>
                              <w:color w:val="000000"/>
                              <w:szCs w:val="24"/>
                              <w:vertAlign w:val="subscript"/>
                              <w:lang w:eastAsia="lt-LT"/>
                            </w:rPr>
                            <w:t xml:space="preserve">,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w:t>
                          </w:r>
                          <w:proofErr w:type="spellStart"/>
                          <w:r>
                            <w:rPr>
                              <w:bCs/>
                              <w:color w:val="000000"/>
                              <w:szCs w:val="24"/>
                              <w:lang w:eastAsia="lt-LT"/>
                            </w:rPr>
                            <w:t>kWh</w:t>
                          </w:r>
                          <w:proofErr w:type="spellEnd"/>
                          <w:r>
                            <w:rPr>
                              <w:bCs/>
                              <w:color w:val="000000"/>
                              <w:szCs w:val="24"/>
                              <w:lang w:eastAsia="lt-LT"/>
                            </w:rPr>
                            <w:t>;</w:t>
                          </w:r>
                        </w:p>
                        <w:p w14:paraId="5C6BF8F3" w14:textId="77777777" w:rsidR="001635FD" w:rsidRDefault="004A234A">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w:t>
                          </w:r>
                          <w:r>
                            <w:rPr>
                              <w:bCs/>
                              <w:color w:val="000000"/>
                              <w:szCs w:val="24"/>
                              <w:lang w:eastAsia="lt-LT"/>
                            </w:rPr>
                            <w:t xml:space="preserve">rtotojams, prisijungusiems prie VĮ tinklų, faktiškai parduotas elektros energijos kiekis, </w:t>
                          </w:r>
                          <w:proofErr w:type="spellStart"/>
                          <w:r>
                            <w:rPr>
                              <w:bCs/>
                              <w:color w:val="000000"/>
                              <w:szCs w:val="24"/>
                              <w:lang w:eastAsia="lt-LT"/>
                            </w:rPr>
                            <w:t>kWh</w:t>
                          </w:r>
                          <w:proofErr w:type="spellEnd"/>
                          <w:r>
                            <w:rPr>
                              <w:bCs/>
                              <w:color w:val="000000"/>
                              <w:szCs w:val="24"/>
                              <w:lang w:eastAsia="lt-LT"/>
                            </w:rPr>
                            <w:t>;</w:t>
                          </w:r>
                        </w:p>
                        <w:p w14:paraId="353A5C31" w14:textId="0CD0209F" w:rsidR="001635FD" w:rsidRDefault="004A234A">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w:t>
                          </w:r>
                          <w:r>
                            <w:rPr>
                              <w:bCs/>
                              <w:color w:val="000000"/>
                              <w:szCs w:val="24"/>
                              <w:lang w:eastAsia="lt-LT"/>
                            </w:rPr>
                            <w:t xml:space="preserve">ijungusiems prie ŽĮ tinklų, faktiškai parduotas elektros energijos kiekis, </w:t>
                          </w:r>
                          <w:proofErr w:type="spellStart"/>
                          <w:r>
                            <w:rPr>
                              <w:bCs/>
                              <w:color w:val="000000"/>
                              <w:szCs w:val="24"/>
                              <w:lang w:eastAsia="lt-LT"/>
                            </w:rPr>
                            <w:t>kWh</w:t>
                          </w:r>
                          <w:proofErr w:type="spellEnd"/>
                          <w:r>
                            <w:rPr>
                              <w:bCs/>
                              <w:color w:val="000000"/>
                              <w:szCs w:val="24"/>
                              <w:lang w:eastAsia="lt-LT"/>
                            </w:rPr>
                            <w:t>;</w:t>
                          </w:r>
                        </w:p>
                        <w:p w14:paraId="3F793D06" w14:textId="35BE2FBE" w:rsidR="001635FD" w:rsidRDefault="004A234A">
                          <w:pPr>
                            <w:ind w:firstLine="720"/>
                            <w:jc w:val="both"/>
                            <w:rPr>
                              <w:bCs/>
                              <w:color w:val="000000"/>
                              <w:szCs w:val="24"/>
                              <w:lang w:eastAsia="lt-LT"/>
                            </w:rPr>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w:t>
                          </w:r>
                          <w:r>
                            <w:rPr>
                              <w:bCs/>
                              <w:szCs w:val="24"/>
                              <w:lang w:eastAsia="lt-LT"/>
                            </w:rPr>
                            <w:t>Į ir ŽĮ tinklais kainų viršutinės ribos,</w:t>
                          </w:r>
                          <w:r>
                            <w:rPr>
                              <w:bCs/>
                              <w:color w:val="000000"/>
                              <w:szCs w:val="24"/>
                              <w:lang w:eastAsia="lt-LT"/>
                            </w:rPr>
                            <w:t xml:space="preserve"> skaičius.“</w:t>
                          </w:r>
                        </w:p>
                      </w:sdtContent>
                    </w:sdt>
                  </w:sdtContent>
                </w:sdt>
              </w:sdtContent>
            </w:sdt>
          </w:sdtContent>
        </w:sdt>
        <w:sdt>
          <w:sdtPr>
            <w:alias w:val="2 p."/>
            <w:tag w:val="part_2adc7255cab94d8cb206385f40d51ead"/>
            <w:id w:val="2013728583"/>
            <w:lock w:val="sdtLocked"/>
          </w:sdtPr>
          <w:sdtEndPr/>
          <w:sdtContent>
            <w:p w14:paraId="71DF7C01" w14:textId="686F6173" w:rsidR="001635FD" w:rsidRDefault="004A234A" w:rsidP="004A234A">
              <w:pPr>
                <w:ind w:firstLine="720"/>
                <w:jc w:val="both"/>
                <w:rPr>
                  <w:szCs w:val="24"/>
                </w:rPr>
              </w:pPr>
              <w:sdt>
                <w:sdtPr>
                  <w:alias w:val="Numeris"/>
                  <w:tag w:val="nr_2adc7255cab94d8cb206385f40d51ead"/>
                  <w:id w:val="-1983532948"/>
                  <w:lock w:val="sdtLocked"/>
                </w:sdtPr>
                <w:sdtEndPr/>
                <w:sdtContent>
                  <w:r>
                    <w:rPr>
                      <w:bCs/>
                      <w:color w:val="000000"/>
                      <w:szCs w:val="24"/>
                      <w:lang w:eastAsia="lt-LT"/>
                    </w:rPr>
                    <w:t>2</w:t>
                  </w:r>
                </w:sdtContent>
              </w:sdt>
              <w:r>
                <w:rPr>
                  <w:bCs/>
                  <w:color w:val="000000"/>
                  <w:szCs w:val="24"/>
                  <w:lang w:eastAsia="lt-LT"/>
                </w:rPr>
                <w:t>. Šis nutarimas taikomas nustatant arba koreguojant 2020 metų ir vėlesnių laikotarpių elektros energijos perdavimo, skirstymo ir visuomeninio tiekimo paslaugų bei visuomeninės kainos viršutines</w:t>
              </w:r>
              <w:r>
                <w:rPr>
                  <w:bCs/>
                  <w:color w:val="000000"/>
                  <w:szCs w:val="24"/>
                  <w:lang w:eastAsia="lt-LT"/>
                </w:rPr>
                <w:t xml:space="preserve"> ribas.</w:t>
              </w:r>
            </w:p>
          </w:sdtContent>
        </w:sdt>
        <w:sdt>
          <w:sdtPr>
            <w:alias w:val="signatura"/>
            <w:tag w:val="part_d65192d944d44371b6510894b45bb552"/>
            <w:id w:val="1639758666"/>
            <w:lock w:val="sdtLocked"/>
          </w:sdtPr>
          <w:sdtEndPr/>
          <w:sdtContent>
            <w:p w14:paraId="6758E507" w14:textId="77777777" w:rsidR="004A234A" w:rsidRDefault="004A234A">
              <w:pPr>
                <w:jc w:val="both"/>
              </w:pPr>
            </w:p>
            <w:p w14:paraId="24420D12" w14:textId="77777777" w:rsidR="004A234A" w:rsidRDefault="004A234A">
              <w:pPr>
                <w:jc w:val="both"/>
              </w:pPr>
            </w:p>
            <w:p w14:paraId="14FC3CEA" w14:textId="77777777" w:rsidR="004A234A" w:rsidRDefault="004A234A">
              <w:pPr>
                <w:jc w:val="both"/>
              </w:pPr>
            </w:p>
            <w:p w14:paraId="31CDAB74" w14:textId="585732BB" w:rsidR="001635FD" w:rsidRDefault="004A234A">
              <w:pPr>
                <w:jc w:val="both"/>
                <w:rPr>
                  <w:szCs w:val="24"/>
                </w:rPr>
              </w:pPr>
              <w:r>
                <w:rPr>
                  <w:szCs w:val="24"/>
                </w:rPr>
                <w:t>Tarybos pirmininkė</w:t>
              </w:r>
              <w:r>
                <w:rPr>
                  <w:szCs w:val="24"/>
                </w:rPr>
                <w:tab/>
              </w:r>
              <w:r>
                <w:rPr>
                  <w:szCs w:val="24"/>
                </w:rPr>
                <w:tab/>
              </w:r>
              <w:r>
                <w:rPr>
                  <w:szCs w:val="24"/>
                </w:rPr>
                <w:tab/>
              </w:r>
              <w:r>
                <w:rPr>
                  <w:szCs w:val="24"/>
                </w:rPr>
                <w:tab/>
              </w:r>
              <w:r>
                <w:rPr>
                  <w:szCs w:val="24"/>
                </w:rPr>
                <w:tab/>
                <w:t xml:space="preserve">           Inga Žilienė</w:t>
              </w:r>
            </w:p>
          </w:sdtContent>
        </w:sdt>
      </w:sdtContent>
    </w:sdt>
    <w:sectPr w:rsidR="001635FD">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4358C9" w14:textId="77777777" w:rsidR="001635FD" w:rsidRDefault="004A234A">
      <w:pPr>
        <w:rPr>
          <w:sz w:val="22"/>
          <w:szCs w:val="22"/>
        </w:rPr>
      </w:pPr>
      <w:r>
        <w:rPr>
          <w:sz w:val="22"/>
          <w:szCs w:val="22"/>
        </w:rPr>
        <w:separator/>
      </w:r>
    </w:p>
  </w:endnote>
  <w:endnote w:type="continuationSeparator" w:id="0">
    <w:p w14:paraId="2C7C7418" w14:textId="77777777" w:rsidR="001635FD" w:rsidRDefault="004A234A">
      <w:pPr>
        <w:rPr>
          <w:sz w:val="22"/>
          <w:szCs w:val="22"/>
        </w:rPr>
      </w:pPr>
      <w:r>
        <w:rPr>
          <w:sz w:val="22"/>
          <w:szCs w:val="22"/>
        </w:rPr>
        <w:continuationSeparator/>
      </w:r>
    </w:p>
  </w:endnote>
  <w:endnote w:type="continuationNotice" w:id="1">
    <w:p w14:paraId="38CDC6E0" w14:textId="77777777" w:rsidR="001635FD" w:rsidRDefault="001635F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A00002EF" w:usb1="4000207B" w:usb2="00000000" w:usb3="00000000" w:csb0="0000019F" w:csb1="00000000"/>
  </w:font>
  <w:font w:name="Vrinda">
    <w:panose1 w:val="020B0502040204020203"/>
    <w:charset w:val="00"/>
    <w:family w:val="swiss"/>
    <w:pitch w:val="variable"/>
    <w:sig w:usb0="0001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6F640" w14:textId="77777777" w:rsidR="001635FD" w:rsidRDefault="001635FD">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FA18E" w14:textId="77777777" w:rsidR="001635FD" w:rsidRDefault="001635FD">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55DA8" w14:textId="77777777" w:rsidR="001635FD" w:rsidRDefault="001635FD">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26737F" w14:textId="77777777" w:rsidR="001635FD" w:rsidRDefault="004A234A">
      <w:pPr>
        <w:rPr>
          <w:sz w:val="22"/>
          <w:szCs w:val="22"/>
        </w:rPr>
      </w:pPr>
      <w:r>
        <w:rPr>
          <w:sz w:val="22"/>
          <w:szCs w:val="22"/>
        </w:rPr>
        <w:separator/>
      </w:r>
    </w:p>
  </w:footnote>
  <w:footnote w:type="continuationSeparator" w:id="0">
    <w:p w14:paraId="405AF870" w14:textId="77777777" w:rsidR="001635FD" w:rsidRDefault="004A234A">
      <w:pPr>
        <w:rPr>
          <w:sz w:val="22"/>
          <w:szCs w:val="22"/>
        </w:rPr>
      </w:pPr>
      <w:r>
        <w:rPr>
          <w:sz w:val="22"/>
          <w:szCs w:val="22"/>
        </w:rPr>
        <w:continuationSeparator/>
      </w:r>
    </w:p>
  </w:footnote>
  <w:footnote w:type="continuationNotice" w:id="1">
    <w:p w14:paraId="13811E33" w14:textId="77777777" w:rsidR="001635FD" w:rsidRDefault="001635FD">
      <w:pPr>
        <w:rPr>
          <w:sz w:val="22"/>
          <w:szCs w:val="2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89222C" w14:textId="77777777" w:rsidR="001635FD" w:rsidRDefault="001635FD">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69BC03" w14:textId="56260AF3" w:rsidR="001635FD" w:rsidRDefault="004A234A">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w:t>
    </w:r>
    <w:r>
      <w:rPr>
        <w:szCs w:val="24"/>
      </w:rPr>
      <w:fldChar w:fldCharType="end"/>
    </w:r>
  </w:p>
  <w:p w14:paraId="38CA6FEF" w14:textId="77777777" w:rsidR="001635FD" w:rsidRDefault="001635FD">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7140C9" w14:textId="77777777" w:rsidR="001635FD" w:rsidRDefault="001635FD">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B4F"/>
    <w:rsid w:val="001635FD"/>
    <w:rsid w:val="004A234A"/>
    <w:rsid w:val="00917B4F"/>
  </w:rsids>
  <m:mathPr>
    <m:mathFont m:val="Cambria Math"/>
    <m:brkBin m:val="before"/>
    <m:brkBinSub m:val="--"/>
    <m:smallFrac m:val="0"/>
    <m:dispDef/>
    <m:lMargin m:val="0"/>
    <m:rMargin m:val="0"/>
    <m:defJc m:val="centerGroup"/>
    <m:wrapIndent m:val="1440"/>
    <m:intLim m:val="subSup"/>
    <m:naryLim m:val="undOvr"/>
  </m:mathPr>
  <w:themeFontLang w:val="lt-LT" w:bidi="bn-IN"/>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EC89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990084">
      <w:bodyDiv w:val="1"/>
      <w:marLeft w:val="0"/>
      <w:marRight w:val="0"/>
      <w:marTop w:val="0"/>
      <w:marBottom w:val="0"/>
      <w:divBdr>
        <w:top w:val="none" w:sz="0" w:space="0" w:color="auto"/>
        <w:left w:val="none" w:sz="0" w:space="0" w:color="auto"/>
        <w:bottom w:val="none" w:sz="0" w:space="0" w:color="auto"/>
        <w:right w:val="none" w:sz="0" w:space="0" w:color="auto"/>
      </w:divBdr>
    </w:div>
    <w:div w:id="549726378">
      <w:bodyDiv w:val="1"/>
      <w:marLeft w:val="0"/>
      <w:marRight w:val="0"/>
      <w:marTop w:val="0"/>
      <w:marBottom w:val="0"/>
      <w:divBdr>
        <w:top w:val="none" w:sz="0" w:space="0" w:color="auto"/>
        <w:left w:val="none" w:sz="0" w:space="0" w:color="auto"/>
        <w:bottom w:val="none" w:sz="0" w:space="0" w:color="auto"/>
        <w:right w:val="none" w:sz="0" w:space="0" w:color="auto"/>
      </w:divBdr>
    </w:div>
    <w:div w:id="1518419481">
      <w:bodyDiv w:val="1"/>
      <w:marLeft w:val="0"/>
      <w:marRight w:val="0"/>
      <w:marTop w:val="0"/>
      <w:marBottom w:val="0"/>
      <w:divBdr>
        <w:top w:val="none" w:sz="0" w:space="0" w:color="auto"/>
        <w:left w:val="none" w:sz="0" w:space="0" w:color="auto"/>
        <w:bottom w:val="none" w:sz="0" w:space="0" w:color="auto"/>
        <w:right w:val="none" w:sz="0" w:space="0" w:color="auto"/>
      </w:divBdr>
    </w:div>
    <w:div w:id="1778598416">
      <w:bodyDiv w:val="1"/>
      <w:marLeft w:val="0"/>
      <w:marRight w:val="0"/>
      <w:marTop w:val="0"/>
      <w:marBottom w:val="0"/>
      <w:divBdr>
        <w:top w:val="none" w:sz="0" w:space="0" w:color="auto"/>
        <w:left w:val="none" w:sz="0" w:space="0" w:color="auto"/>
        <w:bottom w:val="none" w:sz="0" w:space="0" w:color="auto"/>
        <w:right w:val="none" w:sz="0" w:space="0" w:color="auto"/>
      </w:divBdr>
      <w:divsChild>
        <w:div w:id="911502880">
          <w:marLeft w:val="0"/>
          <w:marRight w:val="0"/>
          <w:marTop w:val="0"/>
          <w:marBottom w:val="0"/>
          <w:divBdr>
            <w:top w:val="none" w:sz="0" w:space="0" w:color="auto"/>
            <w:left w:val="none" w:sz="0" w:space="0" w:color="auto"/>
            <w:bottom w:val="none" w:sz="0" w:space="0" w:color="auto"/>
            <w:right w:val="none" w:sz="0" w:space="0" w:color="auto"/>
          </w:divBdr>
          <w:divsChild>
            <w:div w:id="1508524398">
              <w:marLeft w:val="0"/>
              <w:marRight w:val="0"/>
              <w:marTop w:val="0"/>
              <w:marBottom w:val="0"/>
              <w:divBdr>
                <w:top w:val="none" w:sz="0" w:space="0" w:color="auto"/>
                <w:left w:val="none" w:sz="0" w:space="0" w:color="auto"/>
                <w:bottom w:val="none" w:sz="0" w:space="0" w:color="auto"/>
                <w:right w:val="none" w:sz="0" w:space="0" w:color="auto"/>
              </w:divBdr>
              <w:divsChild>
                <w:div w:id="1581712066">
                  <w:marLeft w:val="0"/>
                  <w:marRight w:val="0"/>
                  <w:marTop w:val="0"/>
                  <w:marBottom w:val="0"/>
                  <w:divBdr>
                    <w:top w:val="none" w:sz="0" w:space="0" w:color="auto"/>
                    <w:left w:val="none" w:sz="0" w:space="0" w:color="auto"/>
                    <w:bottom w:val="none" w:sz="0" w:space="0" w:color="auto"/>
                    <w:right w:val="none" w:sz="0" w:space="0" w:color="auto"/>
                  </w:divBdr>
                  <w:divsChild>
                    <w:div w:id="168559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60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702d8113e8e407980ab879a74cc38b0" PartId="aecbd5434cc4403d9abfda071ebfdb55">
    <Part Type="preambule" DocPartId="f0410809f986458d9a99660923c77684" PartId="3874bccbe6b84af89bde0c964eaba1a3"/>
    <Part Type="punktas" Nr="1" Abbr="1 p." DocPartId="e18030a6a2154c33a9fb878693f0434a" PartId="58f87eb4c92e435681153c85702bf376">
      <Part Type="papunktis" Nr="1.1" Abbr="1.1 pp." DocPartId="36e139acfa0142cca6d67fd8ee991b84" PartId="10c74b4387084742b8703629c48ce914">
        <Part Type="citata" DocPartId="5c7d86fef6f44952850287b8576e9ef3" PartId="36ba96af256b4e75a4e280b0348a57f6">
          <Part Type="punktas" Nr="3" Abbr="3 p." DocPartId="5c441e4844494d4992c70630eb26676b" PartId="e66ef2b2e2f041b6978f58b6ba233e3e"/>
        </Part>
      </Part>
      <Part Type="papunktis" Nr="1.2" Abbr="1.2 pp." DocPartId="8473334c304d4ca8945325ec2735135a" PartId="f6d129f6ab26406da2baad510c6ff0f3">
        <Part Type="citata" DocPartId="18936d74bc6c4314996b50b3a786f367" PartId="5dc15e432a3048acbd1088ab83eb0512">
          <Part Type="papunktis" Nr="8.6" Abbr="8.6 pp." DocPartId="69f75b0e651a4b3293b1ae6c8c0726de" PartId="ee95d92cad104c788fda6034305947f9"/>
        </Part>
      </Part>
      <Part Type="papunktis" Nr="1.3" Abbr="1.3 pp." DocPartId="633e3838ccef4abcaf462d15466d87a6" PartId="876cd29d715845ca867bc08dd2dd3ca3">
        <Part Type="citata" DocPartId="491aa2ed85554547b8d71c93687bf72d" PartId="4013b800f6d0476fa4e5e32c8932e41b">
          <Part Type="punktas" Nr="18-1" Abbr="18-1 p." DocPartId="515bbf48e3db47d5b42a90fdc37e1aac" PartId="82969594968643d2ada4c9925c6ffa6c"/>
        </Part>
      </Part>
      <Part Type="papunktis" Nr="1.4" Abbr="1.4 pp." DocPartId="316f5070ee254d468890972fdf09592d" PartId="05882849005749fe83e9bbe4a8d1b75f">
        <Part Type="citata" DocPartId="9ec4d5cfb8a046659c23f1b0543b61ad" PartId="374fac4c6abd4b368db27dbeb33ed1fc">
          <Part Type="papunktis" Nr="20.2.2" Abbr="20.2.2 pp." DocPartId="73066365bec04e50b2dc24305f7ac50c" PartId="d7918959c9d645fe99bf4a4d8bdd0321"/>
        </Part>
      </Part>
      <Part Type="papunktis" Nr="1.5" Abbr="1.5 pp." DocPartId="76f23badcf994642ba5686388cadfce0" PartId="5af6d0985f494e55aa0f678f7a08101b">
        <Part Type="citata" DocPartId="39e431bc6b3442c3b8c9ad4cee63e68e" PartId="36e08c4e05d6402cbf950391ae455a2a">
          <Part Type="punktas" Nr="31-1" Abbr="31-1 p." DocPartId="7a2c9ec515214a5a95d7b1347fd9359e" PartId="b504e8e5c0be474a935a7d41d699a1de"/>
        </Part>
      </Part>
      <Part Type="papunktis" Nr="1.6" Abbr="1.6 pp." DocPartId="2b7c3377dad74fff9d1df6b970647030" PartId="100ce26c069e426f8785cce539e99dc9">
        <Part Type="citata" DocPartId="ce061b7747e44c9eaf8ccbbb69b2b6d5" PartId="591a99f3299745b2ba0655d01ed3b3dd">
          <Part Type="punktas" Nr="107" Abbr="107 p." DocPartId="ae08965d466c4e0db3a9df11f83ee9bf" PartId="f54d0cb640c14f83b12ff16a8f10472f"/>
        </Part>
      </Part>
      <Part Type="papunktis" Nr="1.7" Abbr="1.7 pp." DocPartId="c760fb38fee14fe6b3c0f49c1e36e621" PartId="152a5783db494e44912f50a8811df05b">
        <Part Type="citata" DocPartId="a3f680cff9884d24ab21c76f80d6b06b" PartId="404259b339214d55b57d80bd7ed277f4">
          <Part Type="punktas" Nr="107-1" Abbr="107-1 p." DocPartId="1490dcc1a03c45d796df7953cbd55a8b" PartId="70e12daa22094251b851f97185dd9282"/>
        </Part>
      </Part>
      <Part Type="papunktis" Nr="1.8" Abbr="1.8 pp." DocPartId="b9df4121f1b644629da88dfa64fdef35" PartId="48edaecfc7044d3d8a14bad4a6e6eec1">
        <Part Type="citata" DocPartId="4cd8d31ea3c54850947312bbfc9780ab" PartId="7a039c6c50cd4f10966fa79c5d6aeddc">
          <Part Type="punktas" Nr="107-2" Abbr="107-2 p." DocPartId="2af1fa936fa345a598a853e3481df844" PartId="15456c9fa90c43e896b8fea3556be2c6"/>
        </Part>
      </Part>
      <Part Type="papunktis" Nr="1.9" Abbr="1.9 pp." DocPartId="368a526742a94c25be2d4352a03b79ba" PartId="c4e0bb811a5944a2ba2ca95ab49f7830">
        <Part Type="citata" DocPartId="9ba316cf0fbe44b089b5351b88cbd680" PartId="7a0ae9ad38834891ba61b2fbf36bd884">
          <Part Type="punktas" Nr="109-1" Abbr="109-1 p." DocPartId="54abf77fbdda412aa712601be5563924" PartId="e20636dafac2453dbac5b4b3ce3d1e26"/>
        </Part>
      </Part>
      <Part Type="papunktis" Nr="1.10" Abbr="1.10 pp." DocPartId="d26269ed9fcb44b2b2608b88badc0faa" PartId="885bf20024b441f69baefb2319a7deab">
        <Part Type="citata" DocPartId="4a0d076b1f7a4d7e85980a96e2909b4e" PartId="a0e92e671e344af38a097483ed1d9125">
          <Part Type="punktas" Nr="109-2" Abbr="109-2 p." DocPartId="ce95a7554976402a84a313d4e48ef435" PartId="4056d78884684466944c53a567058262"/>
        </Part>
      </Part>
      <Part Type="papunktis" Nr="1.11" Abbr="1.11 pp." DocPartId="a05b41d0ad78412b9c6ef9208ba5a9be" PartId="859c3e44cd2642d483589ed6a6a079b0"/>
      <Part Type="papunktis" Nr="1.12" Abbr="1.12 pp." DocPartId="352e16526f8a41be83a71e46aae4337a" PartId="d849aaafd4a54284992263ef1c0a021d">
        <Part Type="citata" DocPartId="892e27e23fe64c0ca2ea395f80efef7f" PartId="e2d1f209818547bfb5147dc077ae64eb">
          <Part Type="punktas" Nr="111-2" Abbr="111-2 p." DocPartId="ae3f2b13ceef4665bb3a31eeff10b656" PartId="ad0bc14a91ca4e9f9a7c803bd06429eb"/>
        </Part>
      </Part>
    </Part>
    <Part Type="punktas" Nr="2" Abbr="2 p." DocPartId="6127fe0166e24f90a0376e7f95623481" PartId="2adc7255cab94d8cb206385f40d51ead"/>
    <Part Type="signatura" DocPartId="8214d4401f694a54b96fa1b19b51a897" PartId="d65192d944d44371b6510894b45bb55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E373B-AA69-4975-9827-2FFA824F72E7}">
  <ds:schemaRefs>
    <ds:schemaRef ds:uri="http://lrs.lt/TAIS/DocParts"/>
  </ds:schemaRefs>
</ds:datastoreItem>
</file>

<file path=customXml/itemProps2.xml><?xml version="1.0" encoding="utf-8"?>
<ds:datastoreItem xmlns:ds="http://schemas.openxmlformats.org/officeDocument/2006/customXml" ds:itemID="{AEBF7917-A58C-484D-A886-6408DE397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10921</Words>
  <Characters>6225</Characters>
  <Application>Microsoft Office Word</Application>
  <DocSecurity>0</DocSecurity>
  <Lines>51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Bartkienė</dc:creator>
  <cp:lastModifiedBy>JUOSPONIENĖ Karolina</cp:lastModifiedBy>
  <cp:revision>3</cp:revision>
  <cp:lastPrinted>2019-10-10T06:15:00Z</cp:lastPrinted>
  <dcterms:created xsi:type="dcterms:W3CDTF">2019-10-10T13:19:00Z</dcterms:created>
  <dcterms:modified xsi:type="dcterms:W3CDTF">2019-10-10T13:51:00Z</dcterms:modified>
</cp:coreProperties>
</file>