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8399218b75474c70a96bb00d6e1682f8"/>
        <w:lock w:val="sdtLocked"/>
        <w:richText/>
      </w:sdtPr>
      <w:sdtContent>
        <w:p>
          <w:pPr>
            <w:tabs>
              <w:tab w:val="center" w:pos="4153"/>
              <w:tab w:val="right" w:pos="8306"/>
            </w:tabs>
            <w:rPr>
              <w:rFonts w:ascii="TimesLT" w:hAnsi="TimesLT"/>
              <w:lang w:val="en-US"/>
            </w:rPr>
          </w:pPr>
        </w:p>
        <w:p>
          <w:pPr>
            <w:jc w:val="center"/>
            <w:rPr>
              <w:caps/>
              <w:sz w:val="22"/>
            </w:rPr>
          </w:pPr>
          <w:r>
            <w:rPr>
              <w:caps/>
              <w:lang w:val="en-US"/>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LIETUVOS BANKO ĮSTATYMO NR. I-678 42, 43</w:t>
          </w:r>
          <w:r>
            <w:rPr>
              <w:b/>
              <w:caps/>
              <w:vertAlign w:val="superscript"/>
            </w:rPr>
            <w:t>3</w:t>
          </w:r>
          <w:r>
            <w:rPr>
              <w:b/>
              <w:caps/>
            </w:rPr>
            <w:t xml:space="preserve"> STRAIPSNIŲ IR 1, 3 PRIEDŲ PAKEITIMO</w:t>
          </w:r>
        </w:p>
        <w:p>
          <w:pPr>
            <w:jc w:val="center"/>
            <w:rPr>
              <w:caps/>
            </w:rPr>
          </w:pPr>
          <w:r>
            <w:rPr>
              <w:b/>
              <w:caps/>
            </w:rPr>
            <w:t>ĮSTATYMAS</w:t>
          </w:r>
        </w:p>
        <w:p>
          <w:pPr>
            <w:jc w:val="center"/>
            <w:rPr>
              <w:b/>
              <w:caps/>
            </w:rPr>
          </w:pPr>
        </w:p>
        <w:p>
          <w:pPr>
            <w:jc w:val="center"/>
            <w:rPr>
              <w:szCs w:val="24"/>
            </w:rPr>
          </w:pPr>
          <w:r>
            <w:rPr>
              <w:szCs w:val="24"/>
              <w:lang w:val="en-US"/>
            </w:rPr>
            <w:t>2022</w:t>
          </w:r>
          <w:r>
            <w:rPr>
              <w:szCs w:val="24"/>
            </w:rPr>
            <w:t xml:space="preserve"> m. </w:t>
          </w:r>
          <w:r>
            <w:rPr>
              <w:szCs w:val="24"/>
              <w:lang w:val="en-US"/>
            </w:rPr>
            <w:t>birželio</w:t>
          </w:r>
          <w:r>
            <w:rPr>
              <w:szCs w:val="24"/>
            </w:rPr>
            <w:t xml:space="preserve"> </w:t>
          </w:r>
          <w:r>
            <w:rPr>
              <w:szCs w:val="24"/>
              <w:lang w:val="en-US"/>
            </w:rPr>
            <w:t>30</w:t>
          </w:r>
          <w:r>
            <w:rPr>
              <w:szCs w:val="24"/>
            </w:rPr>
            <w:t xml:space="preserve"> d. Nr. </w:t>
          </w:r>
          <w:r>
            <w:rPr>
              <w:szCs w:val="24"/>
              <w:lang w:val="en-US"/>
            </w:rPr>
            <w:t>XIV-1337</w:t>
          </w:r>
        </w:p>
        <w:p>
          <w:pPr>
            <w:jc w:val="center"/>
            <w:rPr>
              <w:szCs w:val="24"/>
            </w:rPr>
          </w:pPr>
          <w:r>
            <w:rPr>
              <w:szCs w:val="24"/>
            </w:rPr>
            <w:t>Vilnius</w:t>
          </w:r>
        </w:p>
        <w:p>
          <w:pPr>
            <w:jc w:val="center"/>
            <w:rPr>
              <w:sz w:val="22"/>
            </w:rPr>
          </w:pPr>
        </w:p>
        <w:p>
          <w:pPr>
            <w:spacing w:line="360" w:lineRule="auto"/>
            <w:ind w:firstLine="720"/>
            <w:jc w:val="both"/>
            <w:rPr>
              <w:sz w:val="16"/>
              <w:szCs w:val="16"/>
            </w:rPr>
          </w:pPr>
        </w:p>
        <w:p>
          <w:pPr>
            <w:spacing w:line="360" w:lineRule="auto"/>
            <w:ind w:firstLine="720"/>
            <w:jc w:val="both"/>
            <w:sectPr>
              <w:headerReference w:type="even" r:id="rId7"/>
              <w:headerReference w:type="default" r:id="rId8"/>
              <w:footerReference w:type="even" r:id="rId9"/>
              <w:footerReference w:type="default" r:id="rId10"/>
              <w:headerReference w:type="first" r:id="rId11"/>
              <w:footerReference w:type="first" r:id="rId12"/>
              <w:type w:val="continuous"/>
              <w:pgSz w:w="11907" w:h="16840" w:code="9"/>
              <w:pgMar w:top="1134" w:right="851" w:bottom="1134" w:left="1701" w:header="706" w:footer="706" w:gutter="0"/>
              <w:cols w:space="1296"/>
              <w:titlePg/>
            </w:sectPr>
          </w:pPr>
        </w:p>
        <w:p>
          <w:pPr>
            <w:tabs>
              <w:tab w:val="center" w:pos="4153"/>
              <w:tab w:val="right" w:pos="8306"/>
            </w:tabs>
            <w:rPr>
              <w:rFonts w:ascii="TimesLT" w:hAnsi="TimesLT"/>
              <w:lang w:val="en-US"/>
            </w:rPr>
          </w:pPr>
        </w:p>
        <w:sdt>
          <w:sdtPr>
            <w:alias w:val="1 str."/>
            <w:tag w:val="part_cc2534734aa44d2ebc2be4f71f4d4040"/>
            <w:lock w:val="sdtLocked"/>
            <w:richText/>
          </w:sdtPr>
          <w:sdtContent>
            <w:p>
              <w:pPr>
                <w:tabs>
                  <w:tab w:val="left" w:pos="993"/>
                </w:tabs>
                <w:spacing w:line="390" w:lineRule="atLeast"/>
                <w:ind w:firstLine="720"/>
                <w:jc w:val="both"/>
                <w:rPr>
                  <w:b/>
                  <w:color w:val="000000"/>
                  <w:szCs w:val="24"/>
                </w:rPr>
              </w:pPr>
              <w:sdt>
                <w:sdtPr>
                  <w:alias w:val="Numeris"/>
                  <w:tag w:val="nr_cc2534734aa44d2ebc2be4f71f4d4040"/>
                  <w:lock w:val="sdtLocked"/>
                  <w:richText/>
                </w:sdtPr>
                <w:sdtContent>
                  <w:r>
                    <w:rPr>
                      <w:b/>
                      <w:color w:val="000000"/>
                      <w:szCs w:val="24"/>
                    </w:rPr>
                    <w:t>1</w:t>
                  </w:r>
                </w:sdtContent>
              </w:sdt>
              <w:r>
                <w:rPr>
                  <w:b/>
                  <w:color w:val="000000"/>
                  <w:szCs w:val="24"/>
                </w:rPr>
                <w:t xml:space="preserve"> straipsnis. </w:t>
              </w:r>
              <w:sdt>
                <w:sdtPr>
                  <w:alias w:val="Pavadinimas"/>
                  <w:tag w:val="title_cc2534734aa44d2ebc2be4f71f4d4040"/>
                  <w:lock w:val="sdtLocked"/>
                  <w:richText/>
                </w:sdtPr>
                <w:sdtContent>
                  <w:r>
                    <w:rPr>
                      <w:b/>
                      <w:color w:val="000000"/>
                      <w:szCs w:val="24"/>
                    </w:rPr>
                    <w:t xml:space="preserve">42 straipsnio pakeitimas </w:t>
                  </w:r>
                </w:sdtContent>
              </w:sdt>
            </w:p>
            <w:sdt>
              <w:sdtPr>
                <w:alias w:val="1 str. 1 d."/>
                <w:tag w:val="part_b16860cd5a3d4b0fba5fac017c715f73"/>
                <w:lock w:val="sdtLocked"/>
                <w:richText/>
              </w:sdtPr>
              <w:sdtContent>
                <w:p>
                  <w:pPr>
                    <w:tabs>
                      <w:tab w:val="left" w:pos="993"/>
                    </w:tabs>
                    <w:spacing w:line="390" w:lineRule="atLeast"/>
                    <w:ind w:firstLine="720"/>
                    <w:jc w:val="both"/>
                    <w:rPr>
                      <w:color w:val="000000"/>
                      <w:szCs w:val="24"/>
                    </w:rPr>
                  </w:pPr>
                  <w:sdt>
                    <w:sdtPr>
                      <w:alias w:val="Numeris"/>
                      <w:tag w:val="nr_b16860cd5a3d4b0fba5fac017c715f73"/>
                      <w:lock w:val="sdtLocked"/>
                      <w:richText/>
                    </w:sdtPr>
                    <w:sdtContent>
                      <w:r>
                        <w:rPr>
                          <w:color w:val="000000"/>
                          <w:szCs w:val="24"/>
                        </w:rPr>
                        <w:t>1</w:t>
                      </w:r>
                    </w:sdtContent>
                  </w:sdt>
                  <w:r>
                    <w:rPr>
                      <w:color w:val="000000"/>
                      <w:szCs w:val="24"/>
                    </w:rPr>
                    <w:t>. Pakeisti 42 straipsnio 1 dalį ir ją išdėstyti taip:</w:t>
                  </w:r>
                </w:p>
                <w:sdt>
                  <w:sdtPr>
                    <w:alias w:val="citata"/>
                    <w:tag w:val="part_99f7b17aba1d499a814e6cba7918f490"/>
                    <w:lock w:val="sdtLocked"/>
                    <w:richText/>
                  </w:sdtPr>
                  <w:sdtContent>
                    <w:sdt>
                      <w:sdtPr>
                        <w:alias w:val="1 d."/>
                        <w:tag w:val="part_5bbad19ed8674a2eab73d1a58ba39aa1"/>
                        <w:lock w:val="sdtLocked"/>
                        <w:richText/>
                      </w:sdtPr>
                      <w:sdtContent>
                        <w:p>
                          <w:pPr>
                            <w:tabs>
                              <w:tab w:val="left" w:pos="993"/>
                            </w:tabs>
                            <w:spacing w:line="390" w:lineRule="atLeast"/>
                            <w:ind w:firstLine="720"/>
                            <w:jc w:val="both"/>
                            <w:rPr>
                              <w:b/>
                              <w:color w:val="000000"/>
                              <w:szCs w:val="24"/>
                            </w:rPr>
                          </w:pPr>
                          <w:r>
                            <w:rPr>
                              <w:color w:val="000000"/>
                              <w:szCs w:val="24"/>
                            </w:rPr>
                            <w:t>„</w:t>
                          </w:r>
                          <w:sdt>
                            <w:sdtPr>
                              <w:alias w:val="Numeris"/>
                              <w:tag w:val="nr_5bbad19ed8674a2eab73d1a58ba39aa1"/>
                              <w:lock w:val="sdtLocked"/>
                              <w:richText/>
                            </w:sdtPr>
                            <w:sdtContent>
                              <w:r>
                                <w:rPr>
                                  <w:color w:val="000000"/>
                                  <w:szCs w:val="24"/>
                                </w:rPr>
                                <w:t>1</w:t>
                              </w:r>
                            </w:sdtContent>
                          </w:sdt>
                          <w:r>
                            <w:rPr>
                              <w:color w:val="000000"/>
                              <w:szCs w:val="24"/>
                            </w:rPr>
                            <w:t xml:space="preserve">. </w:t>
                          </w:r>
                          <w:r>
                            <w:rPr>
                              <w:szCs w:val="24"/>
                            </w:rPr>
                            <w:t>Prižiūrimi finansų rinkos dalyviai yra bankai, užsienio valstybių bankų filialai, įsteigti Lietuvos Respublikoje, centrinės kredito unijos, kredito unijos, draudimo įmonės, perdraudimo įmonės, užsienio valstybių draudimo ir perdraudimo įmonių filialai, įsteigti Lietuvos Respublikoje, draudimo brokerių įmonės ir užsienio valstybių draudimo ir perdraudimo tarpininkų filialai, įsteigti Lietuvos Respublikoje, elektroninių pinigų įstaigos, elektroninių pinigų įstaigų tarpininkai ir užsienio valstybių elektroninių pinigų įstaigų filialai, įsteigti Lietuvos Respublikoje, finansų maklerio įmonės, finansų maklerio įmonės priklausomi tarpininkai, finansų patarėjo įmonės, reguliuojamos rinkos operatoriai, informacijos apie sandorius paslaugų teikėjai, lyginamojo indekso administratoriai, prižiūrimi duomenų tiekėjai, valdymo įmonės, investicinės bendrovės, depozitoriumai, užsienio valstybių finansų maklerio įmonės ir valdymo įmonių filialai, įsteigti Lietuvos Respublikoje, profesinių pensijų asociacijos (toliau – pensijų asociacijos), kontroliuojančiosios investicinės bendrovės, investicinės kontroliuojančiosios bendrovės, mišrią veiklą vykdančios kontroliuojančiosios bendrovės ir emitentai, mokėjimo įstaigos ir mokėjimo įstaigų tarpininkai, vartojimo kredito davėjai, vartojimo kredito tarpininkai, kredito davėjai, tarpusavio skolinimo platformos operatoriai ir kredito tarpininkai, sutelktinio finansavimo platformų operatoriai, sutelktinio finansavimo paslaugų teikėjai, mokėjimo ir vertybinių popierių atsiskaitymo sistemų operatoriai, nacionalinės plėtros įstaigos, valiutos keityklų operatoriai, mišrios veiklos finansų kontroliuojančiosios įmonės, įsteigtos Lietuvos Respublikoje, finansų kontroliuojančiosios bendrovės, įsteigtos Lietuvos Respublikoje</w:t>
                          </w:r>
                          <w:r>
                            <w:rPr>
                              <w:color w:val="000000"/>
                              <w:szCs w:val="24"/>
                            </w:rPr>
                            <w:t xml:space="preserve">, padengtųjų obligacijų bendrovės, pakeitimo vertybiniais popieriais bendrovės, pakeitimo vertybiniais popieriais iniciatoriai, </w:t>
                          </w:r>
                          <w:r>
                            <w:rPr>
                              <w:szCs w:val="24"/>
                            </w:rPr>
                            <w:t>pakeitimo vertybiniais popieriais rėmėjai, pirminiai skolintojai</w:t>
                          </w:r>
                          <w:r>
                            <w:rPr>
                              <w:color w:val="000000"/>
                              <w:szCs w:val="24"/>
                            </w:rPr>
                            <w:t xml:space="preserve"> ir trečiosios šalys, tikrinančios pakeitimo vertybiniais popieriais atitiktį paprastiems, skaidriems ir standartizuotiems kriterijams (toliau – PSS kriterijai).“</w:t>
                          </w:r>
                        </w:p>
                      </w:sdtContent>
                    </w:sdt>
                  </w:sdtContent>
                </w:sdt>
              </w:sdtContent>
            </w:sdt>
            <w:sdt>
              <w:sdtPr>
                <w:alias w:val="1 str. 2 d."/>
                <w:tag w:val="part_3a88d5b32ea44af0a0ee62c6ff56d058"/>
                <w:lock w:val="sdtLocked"/>
                <w:richText/>
              </w:sdtPr>
              <w:sdtContent>
                <w:p>
                  <w:pPr>
                    <w:tabs>
                      <w:tab w:val="left" w:pos="993"/>
                    </w:tabs>
                    <w:spacing w:line="390" w:lineRule="atLeast"/>
                    <w:ind w:firstLine="720"/>
                    <w:jc w:val="both"/>
                    <w:rPr>
                      <w:color w:val="000000"/>
                      <w:szCs w:val="24"/>
                    </w:rPr>
                  </w:pPr>
                  <w:sdt>
                    <w:sdtPr>
                      <w:alias w:val="Numeris"/>
                      <w:tag w:val="nr_3a88d5b32ea44af0a0ee62c6ff56d058"/>
                      <w:lock w:val="sdtLocked"/>
                      <w:richText/>
                    </w:sdtPr>
                    <w:sdtContent>
                      <w:r>
                        <w:rPr>
                          <w:color w:val="000000"/>
                          <w:szCs w:val="24"/>
                        </w:rPr>
                        <w:t>2</w:t>
                      </w:r>
                    </w:sdtContent>
                  </w:sdt>
                  <w:r>
                    <w:rPr>
                      <w:color w:val="000000"/>
                      <w:szCs w:val="24"/>
                    </w:rPr>
                    <w:t>. Papildyti 42 straipsnio 2 dalį 16 punktu:</w:t>
                  </w:r>
                </w:p>
                <w:sdt>
                  <w:sdtPr>
                    <w:alias w:val="citata"/>
                    <w:tag w:val="part_63268e109b494cbf863c4e08b6f3709c"/>
                    <w:lock w:val="sdtLocked"/>
                    <w:richText/>
                  </w:sdtPr>
                  <w:sdtContent>
                    <w:sdt>
                      <w:sdtPr>
                        <w:alias w:val="16 p."/>
                        <w:tag w:val="part_284f3117249b421d86cbfb536ff11013"/>
                        <w:lock w:val="sdtLocked"/>
                        <w:richText/>
                      </w:sdtPr>
                      <w:sdtContent>
                        <w:p>
                          <w:pPr>
                            <w:tabs>
                              <w:tab w:val="left" w:pos="993"/>
                            </w:tabs>
                            <w:spacing w:line="390" w:lineRule="atLeast"/>
                            <w:ind w:firstLine="720"/>
                            <w:jc w:val="both"/>
                            <w:rPr>
                              <w:color w:val="000000"/>
                              <w:szCs w:val="24"/>
                            </w:rPr>
                          </w:pPr>
                          <w:r>
                            <w:rPr>
                              <w:color w:val="000000"/>
                              <w:szCs w:val="24"/>
                            </w:rPr>
                            <w:t>„</w:t>
                          </w:r>
                          <w:sdt>
                            <w:sdtPr>
                              <w:alias w:val="Numeris"/>
                              <w:tag w:val="nr_284f3117249b421d86cbfb536ff11013"/>
                              <w:lock w:val="sdtLocked"/>
                              <w:richText/>
                            </w:sdtPr>
                            <w:sdtContent>
                              <w:r>
                                <w:rPr>
                                  <w:color w:val="000000"/>
                                  <w:szCs w:val="24"/>
                                </w:rPr>
                                <w:t>16</w:t>
                              </w:r>
                            </w:sdtContent>
                          </w:sdt>
                          <w:r>
                            <w:rPr>
                              <w:color w:val="000000"/>
                              <w:szCs w:val="24"/>
                            </w:rPr>
                            <w:t>) atlieka padengtųjų obligacijų bendrovių, pakeitimo vertybiniais popieriais bendrovių ir pakeitimo vertybiniais popieriais iniciatorių, pakeitimo vertybiniais popieriais rėmėjų, pirminių skolintojų ir trečiųjų šalių, tikrinančių pakeitimo vertybiniais popieriais atitiktį PSS kriterijams, priežiūrą ir kitas Lietuvos Respublikos pakeitimo vertybiniais popieriais ir padengtųjų obligacijų įstatyme Lietuvos bankui priskirtas funkcijas.“</w:t>
                          </w:r>
                        </w:p>
                        <w:p>
                          <w:pPr>
                            <w:spacing w:line="390" w:lineRule="atLeast"/>
                            <w:ind w:firstLine="720"/>
                            <w:jc w:val="both"/>
                            <w:rPr>
                              <w:rFonts w:eastAsia="Calibri"/>
                              <w:b/>
                              <w:szCs w:val="24"/>
                            </w:rPr>
                          </w:pPr>
                        </w:p>
                      </w:sdtContent>
                    </w:sdt>
                  </w:sdtContent>
                </w:sdt>
              </w:sdtContent>
            </w:sdt>
          </w:sdtContent>
        </w:sdt>
        <w:sdt>
          <w:sdtPr>
            <w:alias w:val="2 str."/>
            <w:tag w:val="part_a1a95700106e49a2ba07af4579a599cf"/>
            <w:lock w:val="sdtLocked"/>
            <w:richText/>
          </w:sdtPr>
          <w:sdtContent>
            <w:p>
              <w:pPr>
                <w:spacing w:line="390" w:lineRule="atLeast"/>
                <w:ind w:firstLine="720"/>
                <w:jc w:val="both"/>
                <w:rPr>
                  <w:rFonts w:eastAsia="Calibri"/>
                  <w:b/>
                  <w:szCs w:val="24"/>
                </w:rPr>
              </w:pPr>
              <w:sdt>
                <w:sdtPr>
                  <w:alias w:val="Numeris"/>
                  <w:tag w:val="nr_a1a95700106e49a2ba07af4579a599cf"/>
                  <w:lock w:val="sdtLocked"/>
                  <w:richText/>
                </w:sdtPr>
                <w:sdtContent>
                  <w:r>
                    <w:rPr>
                      <w:rFonts w:eastAsia="Calibri"/>
                      <w:b/>
                      <w:szCs w:val="24"/>
                    </w:rPr>
                    <w:t>2</w:t>
                  </w:r>
                </w:sdtContent>
              </w:sdt>
              <w:r>
                <w:rPr>
                  <w:rFonts w:eastAsia="Calibri"/>
                  <w:b/>
                  <w:szCs w:val="24"/>
                </w:rPr>
                <w:t xml:space="preserve"> straipsnis. </w:t>
              </w:r>
              <w:sdt>
                <w:sdtPr>
                  <w:alias w:val="Pavadinimas"/>
                  <w:tag w:val="title_a1a95700106e49a2ba07af4579a599cf"/>
                  <w:lock w:val="sdtLocked"/>
                  <w:richText/>
                </w:sdtPr>
                <w:sdtContent>
                  <w:r>
                    <w:rPr>
                      <w:rFonts w:eastAsia="Calibri"/>
                      <w:b/>
                      <w:szCs w:val="24"/>
                    </w:rPr>
                    <w:t>43</w:t>
                  </w:r>
                  <w:r>
                    <w:rPr>
                      <w:rFonts w:eastAsia="Calibri"/>
                      <w:b/>
                      <w:szCs w:val="24"/>
                      <w:vertAlign w:val="superscript"/>
                    </w:rPr>
                    <w:t>3</w:t>
                  </w:r>
                  <w:r>
                    <w:rPr>
                      <w:rFonts w:eastAsia="Calibri"/>
                      <w:b/>
                      <w:szCs w:val="24"/>
                    </w:rPr>
                    <w:t xml:space="preserve"> straipsnio pakeitimas</w:t>
                  </w:r>
                </w:sdtContent>
              </w:sdt>
            </w:p>
            <w:sdt>
              <w:sdtPr>
                <w:alias w:val="2 str. 1 d."/>
                <w:tag w:val="part_2e13551f20af4533831aa92a180ac058"/>
                <w:lock w:val="sdtLocked"/>
                <w:richText/>
              </w:sdtPr>
              <w:sdtContent>
                <w:p>
                  <w:pPr>
                    <w:spacing w:line="390" w:lineRule="atLeast"/>
                    <w:ind w:firstLine="720"/>
                    <w:jc w:val="both"/>
                    <w:rPr>
                      <w:rFonts w:eastAsia="Calibri"/>
                      <w:szCs w:val="24"/>
                    </w:rPr>
                  </w:pPr>
                  <w:r>
                    <w:rPr>
                      <w:rFonts w:eastAsia="Calibri"/>
                      <w:szCs w:val="24"/>
                    </w:rPr>
                    <w:t>Pakeisti 43</w:t>
                  </w:r>
                  <w:r>
                    <w:rPr>
                      <w:rFonts w:eastAsia="Calibri"/>
                      <w:szCs w:val="24"/>
                      <w:vertAlign w:val="superscript"/>
                    </w:rPr>
                    <w:t>3</w:t>
                  </w:r>
                  <w:r>
                    <w:rPr>
                      <w:rFonts w:eastAsia="Calibri"/>
                      <w:szCs w:val="24"/>
                    </w:rPr>
                    <w:t xml:space="preserve"> straipsnio 15 dalį ir ją išdėstyti taip:</w:t>
                  </w:r>
                </w:p>
                <w:sdt>
                  <w:sdtPr>
                    <w:alias w:val="citata"/>
                    <w:tag w:val="part_73f8f02775564992bdffd885dbf5a057"/>
                    <w:lock w:val="sdtLocked"/>
                    <w:richText/>
                  </w:sdtPr>
                  <w:sdtContent>
                    <w:sdt>
                      <w:sdtPr>
                        <w:alias w:val="15 d."/>
                        <w:tag w:val="part_992ae9b229ff40ddaddffe8f93ee7a6d"/>
                        <w:lock w:val="sdtLocked"/>
                        <w:richText/>
                      </w:sdtPr>
                      <w:sdtContent>
                        <w:p>
                          <w:pPr>
                            <w:spacing w:line="390" w:lineRule="atLeast"/>
                            <w:ind w:firstLine="720"/>
                            <w:jc w:val="both"/>
                            <w:rPr>
                              <w:rFonts w:eastAsia="Calibri"/>
                              <w:szCs w:val="24"/>
                            </w:rPr>
                          </w:pPr>
                          <w:r>
                            <w:rPr>
                              <w:rFonts w:eastAsia="Calibri"/>
                              <w:szCs w:val="24"/>
                            </w:rPr>
                            <w:t>„</w:t>
                          </w:r>
                          <w:sdt>
                            <w:sdtPr>
                              <w:alias w:val="Numeris"/>
                              <w:tag w:val="nr_992ae9b229ff40ddaddffe8f93ee7a6d"/>
                              <w:lock w:val="sdtLocked"/>
                              <w:richText/>
                            </w:sdtPr>
                            <w:sdtContent>
                              <w:r>
                                <w:rPr>
                                  <w:rFonts w:eastAsia="Calibri"/>
                                  <w:szCs w:val="24"/>
                                </w:rPr>
                                <w:t>15</w:t>
                              </w:r>
                            </w:sdtContent>
                          </w:sdt>
                          <w:r>
                            <w:rPr>
                              <w:rFonts w:eastAsia="Calibri"/>
                              <w:szCs w:val="24"/>
                            </w:rPr>
                            <w:t>. Siekiant užtikrinti finansų rinkos priežiūrą ir poveikio priemonių atgrasomąjį poveikį,</w:t>
                          </w:r>
                          <w:r>
                            <w:rPr>
                              <w:rFonts w:eastAsia="Calibri"/>
                              <w:b/>
                              <w:szCs w:val="24"/>
                            </w:rPr>
                            <w:t xml:space="preserve"> </w:t>
                          </w:r>
                          <w:r>
                            <w:rPr>
                              <w:rFonts w:eastAsia="Calibri"/>
                              <w:szCs w:val="24"/>
                            </w:rPr>
                            <w:t xml:space="preserve">informacija apie pritaikytas poveikio priemones, įskaitant informaciją apie padaryto teisės akto pažeidimo esmę ir jį padariusio asmens tapatybę (vardas ir pavardė, juridinio asmens pavadinimas ir jo kodas), skelbiama Lietuvos banko interneto svetainėje nedelsiant po to, kai Lietuvos banko sprendimas šio straipsnio 12 dalyje nustatyta tvarka išsiunčiamas arba įteikiamas asmeniui, kuriam poveikio priemonė buvo pritaikyta. Jeigu sprendimas taikyti poveikio priemonę apskundžiamas, Lietuvos banko interneto svetainėje taip pat pateikiama informacija apie dėl pritaikytų poveikio priemonių pateiktus skundus ir jų nagrinėjimo rezultatus. Jeigu informacijos apie pritaikytas poveikio priemones, išskyrus poveikio priemonę </w:t>
                            <w:sym w:font="Symbol" w:char="F02D"/>
                            <w:t xml:space="preserve"> viešą paskelbimą apie pažeidimą ir jį padariusį asmenį, paskelbimas galėtų padaryti neigiamą įtaką finansų rinkos stabilumui, atliekamam ikiteisminiam tyrimui arba neproporcingą žalą fiziniams ar juridiniams asmenims </w:t>
                          </w:r>
                          <w:r>
                            <w:t>arba jeigu nustatoma, kad informacijos skelbimas apie fiziniam asmeniui pritaikytą poveikio priemonę būtų neproporcingas</w:t>
                          </w:r>
                          <w:r>
                            <w:rPr>
                              <w:rFonts w:eastAsia="Calibri"/>
                              <w:szCs w:val="24"/>
                            </w:rPr>
                            <w:t>, šios informacijos skelbimas atidedamas tol, kol šios aplinkybės išnyksta, ji skelbiama neatskleidžiant informacijos apie pažeidimą padariusį asmenį</w:t>
                          </w:r>
                          <w:r>
                            <w:rPr>
                              <w:szCs w:val="24"/>
                              <w:lang w:eastAsia="lt-LT"/>
                            </w:rPr>
                            <w:t xml:space="preserve"> </w:t>
                          </w:r>
                          <w:r>
                            <w:rPr>
                              <w:rFonts w:eastAsia="Calibri"/>
                              <w:szCs w:val="24"/>
                            </w:rPr>
                            <w:t>arba neskelbiama. Lietuvos bankas užtikrina, kad paskelbta informacija būtų prieinama ne trumpiau kaip 5 metus nuo jos paskelbimo dienos. Paskelbtą informaciją sudarantys asmens duomenys Lietuvos banko interneto svetainėje skelbiami tik būtiną, ne trumpesnį kaip 5 metų ir ne ilgesnį kaip 10 metų, laikotarpį, nustatomą pagal Lietuvos banko tvirtinamas asmens duomenų apsaugos tvarkymo taisykles.“</w:t>
                          </w:r>
                        </w:p>
                        <w:p>
                          <w:pPr>
                            <w:spacing w:line="370" w:lineRule="atLeast"/>
                            <w:ind w:firstLine="720"/>
                            <w:jc w:val="both"/>
                            <w:rPr>
                              <w:rFonts w:eastAsia="Calibri"/>
                              <w:b/>
                              <w:szCs w:val="24"/>
                            </w:rPr>
                          </w:pPr>
                        </w:p>
                      </w:sdtContent>
                    </w:sdt>
                  </w:sdtContent>
                </w:sdt>
              </w:sdtContent>
            </w:sdt>
          </w:sdtContent>
        </w:sdt>
        <w:sdt>
          <w:sdtPr>
            <w:alias w:val="3 str."/>
            <w:tag w:val="part_39678cd086784b6d83b647d93c6746e8"/>
            <w:lock w:val="sdtLocked"/>
            <w:richText/>
          </w:sdtPr>
          <w:sdtContent>
            <w:p>
              <w:pPr>
                <w:spacing w:line="360" w:lineRule="auto"/>
                <w:ind w:firstLine="720"/>
                <w:jc w:val="both"/>
                <w:rPr>
                  <w:rFonts w:eastAsia="Calibri"/>
                  <w:b/>
                  <w:szCs w:val="24"/>
                </w:rPr>
              </w:pPr>
              <w:sdt>
                <w:sdtPr>
                  <w:alias w:val="Numeris"/>
                  <w:tag w:val="nr_39678cd086784b6d83b647d93c6746e8"/>
                  <w:lock w:val="sdtLocked"/>
                  <w:richText/>
                </w:sdtPr>
                <w:sdtContent>
                  <w:r>
                    <w:rPr>
                      <w:rFonts w:eastAsia="Calibri"/>
                      <w:b/>
                      <w:szCs w:val="24"/>
                    </w:rPr>
                    <w:t>3</w:t>
                  </w:r>
                </w:sdtContent>
              </w:sdt>
              <w:r>
                <w:rPr>
                  <w:rFonts w:eastAsia="Calibri"/>
                  <w:b/>
                  <w:szCs w:val="24"/>
                </w:rPr>
                <w:t xml:space="preserve"> straipsnis. </w:t>
              </w:r>
              <w:sdt>
                <w:sdtPr>
                  <w:alias w:val="Pavadinimas"/>
                  <w:tag w:val="title_39678cd086784b6d83b647d93c6746e8"/>
                  <w:lock w:val="sdtLocked"/>
                  <w:richText/>
                </w:sdtPr>
                <w:sdtContent>
                  <w:r>
                    <w:rPr>
                      <w:rFonts w:eastAsia="Calibri"/>
                      <w:b/>
                      <w:szCs w:val="24"/>
                    </w:rPr>
                    <w:t>Įstatymo 1 priedo pakeitimas</w:t>
                  </w:r>
                </w:sdtContent>
              </w:sdt>
            </w:p>
            <w:sdt>
              <w:sdtPr>
                <w:alias w:val="3 str. 1 d."/>
                <w:tag w:val="part_6c68a004c5eb448887f42010d840d28d"/>
                <w:lock w:val="sdtLocked"/>
                <w:richText/>
              </w:sdtPr>
              <w:sdtContent>
                <w:p>
                  <w:pPr>
                    <w:spacing w:line="360" w:lineRule="auto"/>
                    <w:ind w:firstLine="720"/>
                    <w:jc w:val="both"/>
                    <w:rPr>
                      <w:rFonts w:eastAsia="Calibri"/>
                      <w:szCs w:val="24"/>
                    </w:rPr>
                  </w:pPr>
                  <w:r>
                    <w:rPr>
                      <w:rFonts w:eastAsia="Calibri"/>
                      <w:szCs w:val="24"/>
                    </w:rPr>
                    <w:t>Papildyti Įstatymo 1 priedą 32–37 punktais:</w:t>
                  </w:r>
                </w:p>
                <w:tbl>
                  <w:tblPr>
                    <w:tblW w:w="92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1E0" w:firstRow="1" w:lastRow="1" w:firstColumn="1" w:lastColumn="1" w:noHBand="0" w:noVBand="0"/>
                  </w:tblPr>
                  <w:tblGrid>
                    <w:gridCol w:w="661"/>
                    <w:gridCol w:w="4646"/>
                    <w:gridCol w:w="2059"/>
                    <w:gridCol w:w="1843"/>
                  </w:tblGrid>
                  <w:tr>
                    <w:tc>
                      <w:tcPr>
                        <w:tcW w:w="661" w:type="dxa"/>
                        <w:tcBorders>
                          <w:top w:val="single" w:sz="4" w:space="0" w:color="auto"/>
                          <w:left w:val="single" w:sz="4" w:space="0" w:color="auto"/>
                          <w:bottom w:val="single" w:sz="4" w:space="0" w:color="auto"/>
                          <w:right w:val="single" w:sz="4" w:space="0" w:color="auto"/>
                        </w:tcBorders>
                      </w:tcPr>
                      <w:p>
                        <w:pPr>
                          <w:jc w:val="center"/>
                          <w:rPr>
                            <w:rFonts w:ascii="TimesLT" w:hAnsi="TimesLT"/>
                            <w:color w:val="000000"/>
                            <w:szCs w:val="24"/>
                            <w:lang w:eastAsia="lt-LT"/>
                          </w:rPr>
                        </w:pPr>
                        <w:r>
                          <w:rPr>
                            <w:rFonts w:ascii="Times New (W1)" w:hAnsi="Times New (W1)"/>
                            <w:bCs/>
                            <w:szCs w:val="24"/>
                          </w:rPr>
                          <w:t>„</w:t>
                        </w:r>
                        <w:r>
                          <w:rPr>
                            <w:rFonts w:ascii="TimesLT" w:hAnsi="TimesLT"/>
                            <w:color w:val="000000"/>
                            <w:szCs w:val="24"/>
                            <w:lang w:eastAsia="lt-LT"/>
                          </w:rPr>
                          <w:t xml:space="preserve">32. </w:t>
                        </w:r>
                      </w:p>
                    </w:tc>
                    <w:tc>
                      <w:tcPr>
                        <w:tcW w:w="4646" w:type="dxa"/>
                        <w:tcBorders>
                          <w:top w:val="single" w:sz="4" w:space="0" w:color="auto"/>
                          <w:left w:val="single" w:sz="4" w:space="0" w:color="auto"/>
                          <w:bottom w:val="single" w:sz="4" w:space="0" w:color="auto"/>
                          <w:right w:val="single" w:sz="4" w:space="0" w:color="auto"/>
                        </w:tcBorders>
                      </w:tcPr>
                      <w:p>
                        <w:pPr>
                          <w:tabs>
                            <w:tab w:val="left" w:pos="540"/>
                          </w:tabs>
                          <w:jc w:val="both"/>
                          <w:rPr>
                            <w:rFonts w:ascii="TimesLT" w:hAnsi="TimesLT"/>
                            <w:color w:val="000000"/>
                            <w:szCs w:val="24"/>
                            <w:lang w:eastAsia="lt-LT"/>
                          </w:rPr>
                        </w:pPr>
                        <w:r>
                          <w:rPr>
                            <w:rFonts w:ascii="TimesLT" w:hAnsi="TimesLT"/>
                            <w:color w:val="000000"/>
                            <w:szCs w:val="24"/>
                            <w:lang w:eastAsia="lt-LT"/>
                          </w:rPr>
                          <w:t>Padengtųjų obligacijų bendrovės</w:t>
                        </w:r>
                      </w:p>
                    </w:tc>
                    <w:tc>
                      <w:tcPr>
                        <w:tcW w:w="2059" w:type="dxa"/>
                        <w:tcBorders>
                          <w:top w:val="single" w:sz="4" w:space="0" w:color="auto"/>
                          <w:left w:val="single" w:sz="4" w:space="0" w:color="auto"/>
                          <w:bottom w:val="single" w:sz="4" w:space="0" w:color="auto"/>
                          <w:right w:val="single" w:sz="4" w:space="0" w:color="auto"/>
                        </w:tcBorders>
                      </w:tcPr>
                      <w:p>
                        <w:pPr>
                          <w:jc w:val="center"/>
                          <w:rPr>
                            <w:rFonts w:ascii="TimesLT" w:hAnsi="TimesLT"/>
                            <w:color w:val="000000"/>
                            <w:szCs w:val="24"/>
                            <w:lang w:eastAsia="lt-LT"/>
                          </w:rPr>
                        </w:pPr>
                        <w:r>
                          <w:rPr>
                            <w:rFonts w:ascii="TimesLT" w:eastAsia="Calibri" w:hAnsi="TimesLT"/>
                            <w:szCs w:val="24"/>
                          </w:rPr>
                          <w:sym w:font="Symbol" w:char="F02D"/>
                        </w:r>
                      </w:p>
                    </w:tc>
                    <w:tc>
                      <w:tcPr>
                        <w:tcW w:w="1843" w:type="dxa"/>
                        <w:tcBorders>
                          <w:top w:val="single" w:sz="4" w:space="0" w:color="auto"/>
                          <w:left w:val="single" w:sz="4" w:space="0" w:color="auto"/>
                          <w:bottom w:val="single" w:sz="4" w:space="0" w:color="auto"/>
                          <w:right w:val="single" w:sz="4" w:space="0" w:color="auto"/>
                        </w:tcBorders>
                      </w:tcPr>
                      <w:p>
                        <w:pPr>
                          <w:jc w:val="center"/>
                          <w:rPr>
                            <w:rFonts w:ascii="TimesLT" w:hAnsi="TimesLT"/>
                            <w:color w:val="000000"/>
                            <w:szCs w:val="24"/>
                            <w:lang w:eastAsia="lt-LT"/>
                          </w:rPr>
                        </w:pPr>
                        <w:r>
                          <w:rPr>
                            <w:rFonts w:ascii="TimesLT" w:hAnsi="TimesLT"/>
                            <w:color w:val="000000"/>
                            <w:szCs w:val="24"/>
                            <w:lang w:eastAsia="lt-LT"/>
                          </w:rPr>
                          <w:t>1 000 Eur</w:t>
                        </w:r>
                      </w:p>
                    </w:tc>
                  </w:tr>
                  <w:tr>
                    <w:tc>
                      <w:tcPr>
                        <w:tcW w:w="661" w:type="dxa"/>
                        <w:tcBorders>
                          <w:top w:val="single" w:sz="4" w:space="0" w:color="auto"/>
                          <w:left w:val="single" w:sz="4" w:space="0" w:color="auto"/>
                          <w:bottom w:val="single" w:sz="4" w:space="0" w:color="auto"/>
                          <w:right w:val="single" w:sz="4" w:space="0" w:color="auto"/>
                        </w:tcBorders>
                      </w:tcPr>
                      <w:p>
                        <w:pPr>
                          <w:jc w:val="center"/>
                          <w:rPr>
                            <w:rFonts w:ascii="TimesLT" w:hAnsi="TimesLT"/>
                            <w:color w:val="000000"/>
                            <w:szCs w:val="24"/>
                            <w:lang w:eastAsia="lt-LT"/>
                          </w:rPr>
                        </w:pPr>
                        <w:r>
                          <w:rPr>
                            <w:rFonts w:ascii="TimesLT" w:hAnsi="TimesLT"/>
                            <w:color w:val="000000"/>
                            <w:szCs w:val="24"/>
                            <w:lang w:eastAsia="lt-LT"/>
                          </w:rPr>
                          <w:t xml:space="preserve">33. </w:t>
                        </w:r>
                      </w:p>
                    </w:tc>
                    <w:tc>
                      <w:tcPr>
                        <w:tcW w:w="4646" w:type="dxa"/>
                        <w:tcBorders>
                          <w:top w:val="single" w:sz="4" w:space="0" w:color="auto"/>
                          <w:left w:val="single" w:sz="4" w:space="0" w:color="auto"/>
                          <w:bottom w:val="single" w:sz="4" w:space="0" w:color="auto"/>
                          <w:right w:val="single" w:sz="4" w:space="0" w:color="auto"/>
                        </w:tcBorders>
                      </w:tcPr>
                      <w:p>
                        <w:pPr>
                          <w:tabs>
                            <w:tab w:val="left" w:pos="540"/>
                          </w:tabs>
                          <w:jc w:val="both"/>
                          <w:rPr>
                            <w:rFonts w:ascii="TimesLT" w:hAnsi="TimesLT"/>
                            <w:color w:val="000000"/>
                            <w:szCs w:val="24"/>
                            <w:lang w:eastAsia="lt-LT"/>
                          </w:rPr>
                        </w:pPr>
                        <w:r>
                          <w:rPr>
                            <w:rFonts w:ascii="TimesLT" w:hAnsi="TimesLT"/>
                            <w:color w:val="000000"/>
                            <w:szCs w:val="24"/>
                            <w:lang w:eastAsia="lt-LT"/>
                          </w:rPr>
                          <w:t>Pakeitimo vertybiniais popieriais bendrovės</w:t>
                        </w:r>
                      </w:p>
                    </w:tc>
                    <w:tc>
                      <w:tcPr>
                        <w:tcW w:w="2059" w:type="dxa"/>
                        <w:tcBorders>
                          <w:top w:val="single" w:sz="4" w:space="0" w:color="auto"/>
                          <w:left w:val="single" w:sz="4" w:space="0" w:color="auto"/>
                          <w:bottom w:val="single" w:sz="4" w:space="0" w:color="auto"/>
                          <w:right w:val="single" w:sz="4" w:space="0" w:color="auto"/>
                        </w:tcBorders>
                      </w:tcPr>
                      <w:p>
                        <w:pPr>
                          <w:jc w:val="center"/>
                          <w:rPr>
                            <w:rFonts w:ascii="TimesLT" w:hAnsi="TimesLT"/>
                            <w:color w:val="000000"/>
                            <w:szCs w:val="24"/>
                            <w:lang w:eastAsia="lt-LT"/>
                          </w:rPr>
                        </w:pPr>
                        <w:r>
                          <w:rPr>
                            <w:rFonts w:ascii="TimesLT" w:eastAsia="Calibri" w:hAnsi="TimesLT"/>
                            <w:szCs w:val="24"/>
                          </w:rPr>
                          <w:sym w:font="Symbol" w:char="F02D"/>
                        </w:r>
                      </w:p>
                    </w:tc>
                    <w:tc>
                      <w:tcPr>
                        <w:tcW w:w="1843" w:type="dxa"/>
                        <w:tcBorders>
                          <w:top w:val="single" w:sz="4" w:space="0" w:color="auto"/>
                          <w:left w:val="single" w:sz="4" w:space="0" w:color="auto"/>
                          <w:bottom w:val="single" w:sz="4" w:space="0" w:color="auto"/>
                          <w:right w:val="single" w:sz="4" w:space="0" w:color="auto"/>
                        </w:tcBorders>
                      </w:tcPr>
                      <w:p>
                        <w:pPr>
                          <w:jc w:val="center"/>
                          <w:rPr>
                            <w:rFonts w:ascii="TimesLT" w:hAnsi="TimesLT"/>
                            <w:color w:val="000000"/>
                            <w:szCs w:val="24"/>
                            <w:lang w:eastAsia="lt-LT"/>
                          </w:rPr>
                        </w:pPr>
                        <w:r>
                          <w:rPr>
                            <w:rFonts w:ascii="TimesLT" w:hAnsi="TimesLT"/>
                            <w:color w:val="000000"/>
                            <w:szCs w:val="24"/>
                            <w:lang w:eastAsia="lt-LT"/>
                          </w:rPr>
                          <w:t>1 000 Eur</w:t>
                        </w:r>
                      </w:p>
                    </w:tc>
                  </w:tr>
                  <w:tr>
                    <w:tc>
                      <w:tcPr>
                        <w:tcW w:w="661" w:type="dxa"/>
                        <w:tcBorders>
                          <w:top w:val="single" w:sz="4" w:space="0" w:color="auto"/>
                          <w:left w:val="single" w:sz="4" w:space="0" w:color="auto"/>
                          <w:bottom w:val="single" w:sz="4" w:space="0" w:color="auto"/>
                          <w:right w:val="single" w:sz="4" w:space="0" w:color="auto"/>
                        </w:tcBorders>
                      </w:tcPr>
                      <w:p>
                        <w:pPr>
                          <w:jc w:val="center"/>
                          <w:rPr>
                            <w:rFonts w:ascii="TimesLT" w:hAnsi="TimesLT"/>
                            <w:color w:val="000000"/>
                            <w:szCs w:val="24"/>
                            <w:lang w:eastAsia="lt-LT"/>
                          </w:rPr>
                        </w:pPr>
                        <w:r>
                          <w:rPr>
                            <w:rFonts w:ascii="TimesLT" w:hAnsi="TimesLT"/>
                            <w:color w:val="000000"/>
                            <w:szCs w:val="24"/>
                            <w:lang w:eastAsia="lt-LT"/>
                          </w:rPr>
                          <w:t xml:space="preserve">34. </w:t>
                        </w:r>
                      </w:p>
                    </w:tc>
                    <w:tc>
                      <w:tcPr>
                        <w:tcW w:w="4646" w:type="dxa"/>
                        <w:tcBorders>
                          <w:top w:val="single" w:sz="4" w:space="0" w:color="auto"/>
                          <w:left w:val="single" w:sz="4" w:space="0" w:color="auto"/>
                          <w:bottom w:val="single" w:sz="4" w:space="0" w:color="auto"/>
                          <w:right w:val="single" w:sz="4" w:space="0" w:color="auto"/>
                        </w:tcBorders>
                      </w:tcPr>
                      <w:p>
                        <w:pPr>
                          <w:tabs>
                            <w:tab w:val="left" w:pos="540"/>
                          </w:tabs>
                          <w:jc w:val="both"/>
                          <w:rPr>
                            <w:rFonts w:ascii="TimesLT" w:hAnsi="TimesLT"/>
                            <w:color w:val="000000"/>
                            <w:szCs w:val="24"/>
                            <w:lang w:eastAsia="lt-LT"/>
                          </w:rPr>
                        </w:pPr>
                        <w:r>
                          <w:rPr>
                            <w:rFonts w:ascii="TimesLT" w:hAnsi="TimesLT"/>
                            <w:color w:val="000000"/>
                            <w:szCs w:val="24"/>
                            <w:lang w:eastAsia="lt-LT"/>
                          </w:rPr>
                          <w:t>Pakeitimo vertybiniais popieriais iniciatoriai</w:t>
                        </w:r>
                      </w:p>
                    </w:tc>
                    <w:tc>
                      <w:tcPr>
                        <w:tcW w:w="2059" w:type="dxa"/>
                        <w:tcBorders>
                          <w:top w:val="single" w:sz="4" w:space="0" w:color="auto"/>
                          <w:left w:val="single" w:sz="4" w:space="0" w:color="auto"/>
                          <w:bottom w:val="single" w:sz="4" w:space="0" w:color="auto"/>
                          <w:right w:val="single" w:sz="4" w:space="0" w:color="auto"/>
                        </w:tcBorders>
                      </w:tcPr>
                      <w:p>
                        <w:pPr>
                          <w:jc w:val="center"/>
                          <w:rPr>
                            <w:rFonts w:ascii="TimesLT" w:hAnsi="TimesLT"/>
                            <w:color w:val="000000"/>
                            <w:szCs w:val="24"/>
                            <w:lang w:eastAsia="lt-LT"/>
                          </w:rPr>
                        </w:pPr>
                        <w:r>
                          <w:rPr>
                            <w:rFonts w:ascii="TimesLT" w:eastAsia="Calibri" w:hAnsi="TimesLT"/>
                            <w:szCs w:val="24"/>
                          </w:rPr>
                          <w:sym w:font="Symbol" w:char="F02D"/>
                        </w:r>
                      </w:p>
                    </w:tc>
                    <w:tc>
                      <w:tcPr>
                        <w:tcW w:w="1843" w:type="dxa"/>
                        <w:tcBorders>
                          <w:top w:val="single" w:sz="4" w:space="0" w:color="auto"/>
                          <w:left w:val="single" w:sz="4" w:space="0" w:color="auto"/>
                          <w:bottom w:val="single" w:sz="4" w:space="0" w:color="auto"/>
                          <w:right w:val="single" w:sz="4" w:space="0" w:color="auto"/>
                        </w:tcBorders>
                      </w:tcPr>
                      <w:p>
                        <w:pPr>
                          <w:jc w:val="center"/>
                          <w:rPr>
                            <w:rFonts w:ascii="TimesLT" w:hAnsi="TimesLT"/>
                            <w:color w:val="000000"/>
                            <w:szCs w:val="24"/>
                            <w:lang w:eastAsia="lt-LT"/>
                          </w:rPr>
                        </w:pPr>
                        <w:r>
                          <w:rPr>
                            <w:rFonts w:ascii="TimesLT" w:hAnsi="TimesLT"/>
                            <w:color w:val="000000"/>
                            <w:szCs w:val="24"/>
                            <w:lang w:eastAsia="lt-LT"/>
                          </w:rPr>
                          <w:t>1 000 Eur</w:t>
                        </w:r>
                      </w:p>
                    </w:tc>
                  </w:tr>
                  <w:tr>
                    <w:tc>
                      <w:tcPr>
                        <w:tcW w:w="661" w:type="dxa"/>
                        <w:tcBorders>
                          <w:top w:val="single" w:sz="4" w:space="0" w:color="auto"/>
                          <w:left w:val="single" w:sz="4" w:space="0" w:color="auto"/>
                          <w:bottom w:val="single" w:sz="4" w:space="0" w:color="auto"/>
                          <w:right w:val="single" w:sz="4" w:space="0" w:color="auto"/>
                        </w:tcBorders>
                      </w:tcPr>
                      <w:p>
                        <w:pPr>
                          <w:jc w:val="center"/>
                          <w:rPr>
                            <w:rFonts w:ascii="TimesLT" w:hAnsi="TimesLT"/>
                            <w:color w:val="000000"/>
                            <w:szCs w:val="24"/>
                            <w:lang w:eastAsia="lt-LT"/>
                          </w:rPr>
                        </w:pPr>
                        <w:r>
                          <w:rPr>
                            <w:rFonts w:ascii="TimesLT" w:hAnsi="TimesLT"/>
                            <w:color w:val="000000"/>
                            <w:szCs w:val="24"/>
                            <w:lang w:eastAsia="lt-LT"/>
                          </w:rPr>
                          <w:t xml:space="preserve">35. </w:t>
                        </w:r>
                      </w:p>
                    </w:tc>
                    <w:tc>
                      <w:tcPr>
                        <w:tcW w:w="4646" w:type="dxa"/>
                        <w:tcBorders>
                          <w:top w:val="single" w:sz="4" w:space="0" w:color="auto"/>
                          <w:left w:val="single" w:sz="4" w:space="0" w:color="auto"/>
                          <w:bottom w:val="single" w:sz="4" w:space="0" w:color="auto"/>
                          <w:right w:val="single" w:sz="4" w:space="0" w:color="auto"/>
                        </w:tcBorders>
                      </w:tcPr>
                      <w:p>
                        <w:pPr>
                          <w:tabs>
                            <w:tab w:val="left" w:pos="540"/>
                          </w:tabs>
                          <w:jc w:val="both"/>
                          <w:rPr>
                            <w:rFonts w:ascii="TimesLT" w:hAnsi="TimesLT"/>
                            <w:color w:val="000000"/>
                            <w:szCs w:val="24"/>
                            <w:lang w:eastAsia="lt-LT"/>
                          </w:rPr>
                        </w:pPr>
                        <w:r>
                          <w:rPr>
                            <w:rFonts w:ascii="TimesLT" w:hAnsi="TimesLT"/>
                            <w:color w:val="000000"/>
                            <w:szCs w:val="24"/>
                            <w:lang w:eastAsia="lt-LT"/>
                          </w:rPr>
                          <w:t>Pakeitimo vertybiniais popieriais rėmėjai</w:t>
                        </w:r>
                      </w:p>
                    </w:tc>
                    <w:tc>
                      <w:tcPr>
                        <w:tcW w:w="2059" w:type="dxa"/>
                        <w:tcBorders>
                          <w:top w:val="single" w:sz="4" w:space="0" w:color="auto"/>
                          <w:left w:val="single" w:sz="4" w:space="0" w:color="auto"/>
                          <w:bottom w:val="single" w:sz="4" w:space="0" w:color="auto"/>
                          <w:right w:val="single" w:sz="4" w:space="0" w:color="auto"/>
                        </w:tcBorders>
                      </w:tcPr>
                      <w:p>
                        <w:pPr>
                          <w:jc w:val="center"/>
                          <w:rPr>
                            <w:rFonts w:ascii="TimesLT" w:hAnsi="TimesLT"/>
                            <w:color w:val="000000"/>
                            <w:szCs w:val="24"/>
                            <w:lang w:eastAsia="lt-LT"/>
                          </w:rPr>
                        </w:pPr>
                        <w:r>
                          <w:rPr>
                            <w:rFonts w:ascii="TimesLT" w:eastAsia="Calibri" w:hAnsi="TimesLT"/>
                            <w:szCs w:val="24"/>
                          </w:rPr>
                          <w:sym w:font="Symbol" w:char="F02D"/>
                        </w:r>
                      </w:p>
                    </w:tc>
                    <w:tc>
                      <w:tcPr>
                        <w:tcW w:w="1843" w:type="dxa"/>
                        <w:tcBorders>
                          <w:top w:val="single" w:sz="4" w:space="0" w:color="auto"/>
                          <w:left w:val="single" w:sz="4" w:space="0" w:color="auto"/>
                          <w:bottom w:val="single" w:sz="4" w:space="0" w:color="auto"/>
                          <w:right w:val="single" w:sz="4" w:space="0" w:color="auto"/>
                        </w:tcBorders>
                      </w:tcPr>
                      <w:p>
                        <w:pPr>
                          <w:jc w:val="center"/>
                          <w:rPr>
                            <w:rFonts w:ascii="TimesLT" w:hAnsi="TimesLT"/>
                            <w:color w:val="000000"/>
                            <w:szCs w:val="24"/>
                            <w:lang w:eastAsia="lt-LT"/>
                          </w:rPr>
                        </w:pPr>
                        <w:r>
                          <w:rPr>
                            <w:rFonts w:ascii="TimesLT" w:hAnsi="TimesLT"/>
                            <w:color w:val="000000"/>
                            <w:szCs w:val="24"/>
                            <w:lang w:eastAsia="lt-LT"/>
                          </w:rPr>
                          <w:t>1 000 Eur</w:t>
                        </w:r>
                      </w:p>
                    </w:tc>
                  </w:tr>
                  <w:tr>
                    <w:tc>
                      <w:tcPr>
                        <w:tcW w:w="661" w:type="dxa"/>
                        <w:tcBorders>
                          <w:top w:val="single" w:sz="4" w:space="0" w:color="auto"/>
                          <w:left w:val="single" w:sz="4" w:space="0" w:color="auto"/>
                          <w:bottom w:val="single" w:sz="4" w:space="0" w:color="auto"/>
                          <w:right w:val="single" w:sz="4" w:space="0" w:color="auto"/>
                        </w:tcBorders>
                      </w:tcPr>
                      <w:p>
                        <w:pPr>
                          <w:jc w:val="center"/>
                          <w:rPr>
                            <w:rFonts w:ascii="TimesLT" w:hAnsi="TimesLT"/>
                            <w:color w:val="000000"/>
                            <w:szCs w:val="24"/>
                            <w:lang w:eastAsia="lt-LT"/>
                          </w:rPr>
                        </w:pPr>
                        <w:r>
                          <w:rPr>
                            <w:rFonts w:ascii="TimesLT" w:hAnsi="TimesLT"/>
                            <w:color w:val="000000"/>
                            <w:szCs w:val="24"/>
                            <w:lang w:eastAsia="lt-LT"/>
                          </w:rPr>
                          <w:t xml:space="preserve">36. </w:t>
                        </w:r>
                      </w:p>
                    </w:tc>
                    <w:tc>
                      <w:tcPr>
                        <w:tcW w:w="4646" w:type="dxa"/>
                        <w:tcBorders>
                          <w:top w:val="single" w:sz="4" w:space="0" w:color="auto"/>
                          <w:left w:val="single" w:sz="4" w:space="0" w:color="auto"/>
                          <w:bottom w:val="single" w:sz="4" w:space="0" w:color="auto"/>
                          <w:right w:val="single" w:sz="4" w:space="0" w:color="auto"/>
                        </w:tcBorders>
                      </w:tcPr>
                      <w:p>
                        <w:pPr>
                          <w:tabs>
                            <w:tab w:val="left" w:pos="540"/>
                          </w:tabs>
                          <w:jc w:val="both"/>
                          <w:rPr>
                            <w:rFonts w:ascii="TimesLT" w:hAnsi="TimesLT"/>
                            <w:color w:val="000000"/>
                            <w:szCs w:val="24"/>
                            <w:lang w:eastAsia="lt-LT"/>
                          </w:rPr>
                        </w:pPr>
                        <w:r>
                          <w:rPr>
                            <w:rFonts w:ascii="TimesLT" w:hAnsi="TimesLT"/>
                            <w:color w:val="000000"/>
                            <w:szCs w:val="24"/>
                            <w:lang w:eastAsia="lt-LT"/>
                          </w:rPr>
                          <w:t>Pirminiai skolintojai</w:t>
                        </w:r>
                      </w:p>
                    </w:tc>
                    <w:tc>
                      <w:tcPr>
                        <w:tcW w:w="2059" w:type="dxa"/>
                        <w:tcBorders>
                          <w:top w:val="single" w:sz="4" w:space="0" w:color="auto"/>
                          <w:left w:val="single" w:sz="4" w:space="0" w:color="auto"/>
                          <w:bottom w:val="single" w:sz="4" w:space="0" w:color="auto"/>
                          <w:right w:val="single" w:sz="4" w:space="0" w:color="auto"/>
                        </w:tcBorders>
                      </w:tcPr>
                      <w:p>
                        <w:pPr>
                          <w:jc w:val="center"/>
                          <w:rPr>
                            <w:rFonts w:ascii="TimesLT" w:hAnsi="TimesLT"/>
                            <w:color w:val="000000"/>
                            <w:szCs w:val="24"/>
                            <w:lang w:eastAsia="lt-LT"/>
                          </w:rPr>
                        </w:pPr>
                        <w:r>
                          <w:rPr>
                            <w:rFonts w:ascii="TimesLT" w:eastAsia="Calibri" w:hAnsi="TimesLT"/>
                            <w:szCs w:val="24"/>
                          </w:rPr>
                          <w:sym w:font="Symbol" w:char="F02D"/>
                        </w:r>
                      </w:p>
                    </w:tc>
                    <w:tc>
                      <w:tcPr>
                        <w:tcW w:w="1843" w:type="dxa"/>
                        <w:tcBorders>
                          <w:top w:val="single" w:sz="4" w:space="0" w:color="auto"/>
                          <w:left w:val="single" w:sz="4" w:space="0" w:color="auto"/>
                          <w:bottom w:val="single" w:sz="4" w:space="0" w:color="auto"/>
                          <w:right w:val="single" w:sz="4" w:space="0" w:color="auto"/>
                        </w:tcBorders>
                      </w:tcPr>
                      <w:p>
                        <w:pPr>
                          <w:jc w:val="center"/>
                          <w:rPr>
                            <w:rFonts w:ascii="TimesLT" w:hAnsi="TimesLT"/>
                            <w:color w:val="000000"/>
                            <w:szCs w:val="24"/>
                            <w:lang w:eastAsia="lt-LT"/>
                          </w:rPr>
                        </w:pPr>
                        <w:r>
                          <w:rPr>
                            <w:rFonts w:ascii="TimesLT" w:hAnsi="TimesLT"/>
                            <w:color w:val="000000"/>
                            <w:szCs w:val="24"/>
                            <w:lang w:eastAsia="lt-LT"/>
                          </w:rPr>
                          <w:t>1 000 Eur</w:t>
                        </w:r>
                      </w:p>
                    </w:tc>
                  </w:tr>
                  <w:tr>
                    <w:tc>
                      <w:tcPr>
                        <w:tcW w:w="661" w:type="dxa"/>
                        <w:tcBorders>
                          <w:top w:val="single" w:sz="4" w:space="0" w:color="auto"/>
                          <w:left w:val="single" w:sz="4" w:space="0" w:color="auto"/>
                          <w:bottom w:val="single" w:sz="4" w:space="0" w:color="auto"/>
                          <w:right w:val="single" w:sz="4" w:space="0" w:color="auto"/>
                        </w:tcBorders>
                      </w:tcPr>
                      <w:p>
                        <w:pPr>
                          <w:jc w:val="center"/>
                          <w:rPr>
                            <w:rFonts w:ascii="TimesLT" w:hAnsi="TimesLT"/>
                            <w:color w:val="000000"/>
                            <w:szCs w:val="24"/>
                            <w:lang w:eastAsia="lt-LT"/>
                          </w:rPr>
                        </w:pPr>
                        <w:r>
                          <w:rPr>
                            <w:rFonts w:ascii="TimesLT" w:hAnsi="TimesLT"/>
                            <w:color w:val="000000"/>
                            <w:szCs w:val="24"/>
                            <w:lang w:eastAsia="lt-LT"/>
                          </w:rPr>
                          <w:t xml:space="preserve">37. </w:t>
                        </w:r>
                      </w:p>
                    </w:tc>
                    <w:tc>
                      <w:tcPr>
                        <w:tcW w:w="4646" w:type="dxa"/>
                        <w:tcBorders>
                          <w:top w:val="single" w:sz="4" w:space="0" w:color="auto"/>
                          <w:left w:val="single" w:sz="4" w:space="0" w:color="auto"/>
                          <w:bottom w:val="single" w:sz="4" w:space="0" w:color="auto"/>
                          <w:right w:val="single" w:sz="4" w:space="0" w:color="auto"/>
                        </w:tcBorders>
                      </w:tcPr>
                      <w:p>
                        <w:pPr>
                          <w:tabs>
                            <w:tab w:val="left" w:pos="540"/>
                          </w:tabs>
                          <w:rPr>
                            <w:rFonts w:ascii="TimesLT" w:hAnsi="TimesLT"/>
                            <w:color w:val="000000"/>
                            <w:szCs w:val="24"/>
                            <w:lang w:eastAsia="lt-LT"/>
                          </w:rPr>
                        </w:pPr>
                        <w:r>
                          <w:rPr>
                            <w:rFonts w:ascii="TimesLT" w:hAnsi="TimesLT"/>
                            <w:color w:val="000000"/>
                            <w:szCs w:val="24"/>
                            <w:lang w:eastAsia="lt-LT"/>
                          </w:rPr>
                          <w:t xml:space="preserve">Trečiosios šalys, tikrinančios pakeitimo vertybiniais popieriais atitiktį </w:t>
                        </w:r>
                        <w:r>
                          <w:rPr>
                            <w:rFonts w:ascii="TimesLT" w:hAnsi="TimesLT"/>
                            <w:color w:val="000000"/>
                            <w:szCs w:val="24"/>
                          </w:rPr>
                          <w:t xml:space="preserve">paprastiems, skaidriems ir standartizuotiems </w:t>
                        </w:r>
                        <w:r>
                          <w:rPr>
                            <w:rFonts w:ascii="TimesLT" w:hAnsi="TimesLT"/>
                            <w:color w:val="000000"/>
                            <w:szCs w:val="24"/>
                            <w:lang w:eastAsia="lt-LT"/>
                          </w:rPr>
                          <w:t>kriterijams</w:t>
                        </w:r>
                      </w:p>
                    </w:tc>
                    <w:tc>
                      <w:tcPr>
                        <w:tcW w:w="2059" w:type="dxa"/>
                        <w:tcBorders>
                          <w:top w:val="single" w:sz="4" w:space="0" w:color="auto"/>
                          <w:left w:val="single" w:sz="4" w:space="0" w:color="auto"/>
                          <w:bottom w:val="single" w:sz="4" w:space="0" w:color="auto"/>
                          <w:right w:val="single" w:sz="4" w:space="0" w:color="auto"/>
                        </w:tcBorders>
                      </w:tcPr>
                      <w:p>
                        <w:pPr>
                          <w:jc w:val="center"/>
                          <w:rPr>
                            <w:rFonts w:ascii="TimesLT" w:hAnsi="TimesLT"/>
                            <w:color w:val="000000"/>
                            <w:szCs w:val="24"/>
                            <w:lang w:eastAsia="lt-LT"/>
                          </w:rPr>
                        </w:pPr>
                        <w:r>
                          <w:rPr>
                            <w:rFonts w:ascii="TimesLT" w:eastAsia="Calibri" w:hAnsi="TimesLT"/>
                            <w:szCs w:val="24"/>
                          </w:rPr>
                          <w:sym w:font="Symbol" w:char="F02D"/>
                        </w:r>
                      </w:p>
                    </w:tc>
                    <w:tc>
                      <w:tcPr>
                        <w:tcW w:w="1843" w:type="dxa"/>
                        <w:tcBorders>
                          <w:top w:val="single" w:sz="4" w:space="0" w:color="auto"/>
                          <w:left w:val="single" w:sz="4" w:space="0" w:color="auto"/>
                          <w:bottom w:val="single" w:sz="4" w:space="0" w:color="auto"/>
                          <w:right w:val="single" w:sz="4" w:space="0" w:color="auto"/>
                        </w:tcBorders>
                      </w:tcPr>
                      <w:p>
                        <w:pPr>
                          <w:jc w:val="center"/>
                          <w:rPr>
                            <w:rFonts w:ascii="TimesLT" w:hAnsi="TimesLT"/>
                            <w:color w:val="000000"/>
                            <w:szCs w:val="24"/>
                            <w:lang w:eastAsia="lt-LT"/>
                          </w:rPr>
                        </w:pPr>
                        <w:r>
                          <w:rPr>
                            <w:rFonts w:ascii="TimesLT" w:hAnsi="TimesLT"/>
                            <w:color w:val="000000"/>
                            <w:szCs w:val="24"/>
                            <w:lang w:eastAsia="lt-LT"/>
                          </w:rPr>
                          <w:t>1 000 Eur“</w:t>
                        </w:r>
                      </w:p>
                    </w:tc>
                  </w:tr>
                </w:tbl>
                <w:p>
                  <w:pPr>
                    <w:spacing w:line="360" w:lineRule="auto"/>
                    <w:ind w:firstLine="720"/>
                    <w:jc w:val="both"/>
                    <w:rPr>
                      <w:color w:val="000000"/>
                      <w:szCs w:val="24"/>
                    </w:rPr>
                  </w:pPr>
                </w:p>
              </w:sdtContent>
            </w:sdt>
          </w:sdtContent>
        </w:sdt>
        <w:sdt>
          <w:sdtPr>
            <w:alias w:val="4 str."/>
            <w:tag w:val="part_e5f6123523e84bcf8ff83fc1b6ac2991"/>
            <w:lock w:val="sdtLocked"/>
            <w:richText/>
          </w:sdtPr>
          <w:sdtContent>
            <w:p>
              <w:pPr>
                <w:spacing w:line="360" w:lineRule="auto"/>
                <w:ind w:firstLine="720"/>
                <w:jc w:val="both"/>
                <w:rPr>
                  <w:rFonts w:eastAsia="Calibri"/>
                  <w:b/>
                  <w:szCs w:val="24"/>
                </w:rPr>
              </w:pPr>
              <w:sdt>
                <w:sdtPr>
                  <w:alias w:val="Numeris"/>
                  <w:tag w:val="nr_e5f6123523e84bcf8ff83fc1b6ac2991"/>
                  <w:lock w:val="sdtLocked"/>
                  <w:richText/>
                </w:sdtPr>
                <w:sdtContent>
                  <w:r>
                    <w:rPr>
                      <w:rFonts w:eastAsia="Calibri"/>
                      <w:b/>
                      <w:szCs w:val="24"/>
                    </w:rPr>
                    <w:t>4</w:t>
                  </w:r>
                </w:sdtContent>
              </w:sdt>
              <w:r>
                <w:rPr>
                  <w:rFonts w:eastAsia="Calibri"/>
                  <w:b/>
                  <w:szCs w:val="24"/>
                </w:rPr>
                <w:t xml:space="preserve"> straipsnis. </w:t>
              </w:r>
              <w:sdt>
                <w:sdtPr>
                  <w:alias w:val="Pavadinimas"/>
                  <w:tag w:val="title_e5f6123523e84bcf8ff83fc1b6ac2991"/>
                  <w:lock w:val="sdtLocked"/>
                  <w:richText/>
                </w:sdtPr>
                <w:sdtContent>
                  <w:r>
                    <w:rPr>
                      <w:rFonts w:eastAsia="Calibri"/>
                      <w:b/>
                      <w:szCs w:val="24"/>
                    </w:rPr>
                    <w:t>Įstatymo 3 priedo pakeitimas</w:t>
                  </w:r>
                </w:sdtContent>
              </w:sdt>
            </w:p>
            <w:sdt>
              <w:sdtPr>
                <w:alias w:val="4 str. 1 d."/>
                <w:tag w:val="part_c2f6dd43221c4239be40ca3bb1039346"/>
                <w:lock w:val="sdtLocked"/>
                <w:richText/>
              </w:sdtPr>
              <w:sdtContent>
                <w:p>
                  <w:pPr>
                    <w:spacing w:line="360" w:lineRule="auto"/>
                    <w:ind w:firstLine="720"/>
                    <w:jc w:val="both"/>
                    <w:rPr>
                      <w:rFonts w:eastAsia="Calibri"/>
                      <w:szCs w:val="24"/>
                    </w:rPr>
                  </w:pPr>
                  <w:sdt>
                    <w:sdtPr>
                      <w:alias w:val="Numeris"/>
                      <w:tag w:val="nr_c2f6dd43221c4239be40ca3bb1039346"/>
                      <w:lock w:val="sdtLocked"/>
                      <w:richText/>
                    </w:sdtPr>
                    <w:sdtContent>
                      <w:r>
                        <w:rPr>
                          <w:rFonts w:eastAsia="Calibri"/>
                          <w:szCs w:val="24"/>
                        </w:rPr>
                        <w:t>1</w:t>
                      </w:r>
                    </w:sdtContent>
                  </w:sdt>
                  <w:r>
                    <w:rPr>
                      <w:rFonts w:eastAsia="Calibri"/>
                      <w:szCs w:val="24"/>
                    </w:rPr>
                    <w:t>. Papildyti Įstatymo 3 priedą nauju 18 punktu:</w:t>
                  </w:r>
                </w:p>
                <w:sdt>
                  <w:sdtPr>
                    <w:alias w:val="citata"/>
                    <w:tag w:val="part_3641915f28754d16a657ccca9020501e"/>
                    <w:lock w:val="sdtLocked"/>
                    <w:richText/>
                  </w:sdtPr>
                  <w:sdtContent>
                    <w:sdt>
                      <w:sdtPr>
                        <w:alias w:val="18 d."/>
                        <w:tag w:val="part_e395f41e6a484fdcac745f7da62f0d8f"/>
                        <w:lock w:val="sdtLocked"/>
                        <w:richText/>
                      </w:sdtPr>
                      <w:sdtContent>
                        <w:p>
                          <w:pPr>
                            <w:spacing w:line="360" w:lineRule="auto"/>
                            <w:ind w:firstLine="720"/>
                            <w:jc w:val="both"/>
                            <w:rPr>
                              <w:rFonts w:eastAsia="Calibri"/>
                              <w:szCs w:val="24"/>
                            </w:rPr>
                          </w:pPr>
                          <w:r>
                            <w:rPr>
                              <w:bCs/>
                              <w:szCs w:val="24"/>
                            </w:rPr>
                            <w:t>„</w:t>
                          </w:r>
                          <w:sdt>
                            <w:sdtPr>
                              <w:alias w:val="Numeris"/>
                              <w:tag w:val="nr_e395f41e6a484fdcac745f7da62f0d8f"/>
                              <w:lock w:val="sdtLocked"/>
                              <w:richText/>
                            </w:sdtPr>
                            <w:sdtContent>
                              <w:r>
                                <w:rPr>
                                  <w:bCs/>
                                  <w:szCs w:val="24"/>
                                </w:rPr>
                                <w:t>18</w:t>
                              </w:r>
                            </w:sdtContent>
                          </w:sdt>
                          <w:r>
                            <w:rPr>
                              <w:bCs/>
                              <w:szCs w:val="24"/>
                            </w:rPr>
                            <w:t>.</w:t>
                          </w:r>
                          <w:r>
                            <w:rPr>
                              <w:szCs w:val="24"/>
                            </w:rPr>
                            <w:t xml:space="preserve"> 2017 m. gruodžio 12 d. Europos Parlamento ir Tarybos reglamentas (ES) 2017/2402, kuriuo nustatoma bendroji pakeitimo vertybiniais popieriais sistema ir sukuriama specialioji paprasto, skaidraus ir standartizuoto pakeitimo vertybiniais popieriais sistema ir iš dalies keičiamos direktyvos 2009/65/EB, 2009/138/EB ir 2011/61/ES bei reglamentai (EB) Nr. 1060/2009 ir (ES) Nr. 648/2012, </w:t>
                          </w:r>
                          <w:r>
                            <w:rPr>
                              <w:bCs/>
                              <w:szCs w:val="24"/>
                            </w:rPr>
                            <w:t>su paskutiniais pakeitimais, padarytais 2021 m. kovo 21 d. Europos Parlamento ir Tarybos reglamentu (ES) 2021/557.“</w:t>
                          </w:r>
                        </w:p>
                      </w:sdtContent>
                    </w:sdt>
                  </w:sdtContent>
                </w:sdt>
              </w:sdtContent>
            </w:sdt>
            <w:sdt>
              <w:sdtPr>
                <w:alias w:val="4 str. 2 d."/>
                <w:tag w:val="part_f91c376b1a454796867c75f0a2c23b20"/>
                <w:lock w:val="sdtLocked"/>
                <w:richText/>
              </w:sdtPr>
              <w:sdtContent>
                <w:p>
                  <w:pPr>
                    <w:spacing w:line="360" w:lineRule="auto"/>
                    <w:ind w:firstLine="720"/>
                    <w:jc w:val="both"/>
                    <w:rPr>
                      <w:bCs/>
                      <w:color w:val="000000"/>
                      <w:szCs w:val="24"/>
                    </w:rPr>
                  </w:pPr>
                  <w:sdt>
                    <w:sdtPr>
                      <w:alias w:val="Numeris"/>
                      <w:tag w:val="nr_f91c376b1a454796867c75f0a2c23b20"/>
                      <w:lock w:val="sdtLocked"/>
                      <w:richText/>
                    </w:sdtPr>
                    <w:sdtContent>
                      <w:r>
                        <w:rPr>
                          <w:bCs/>
                          <w:color w:val="000000"/>
                          <w:szCs w:val="24"/>
                        </w:rPr>
                        <w:t>2</w:t>
                      </w:r>
                    </w:sdtContent>
                  </w:sdt>
                  <w:r>
                    <w:rPr>
                      <w:bCs/>
                      <w:color w:val="000000"/>
                      <w:szCs w:val="24"/>
                    </w:rPr>
                    <w:t xml:space="preserve">. Buvusius Įstatymo 3 priedo 18 ir 19 punktus laikyti atitinkamai 19 ir 20 punktais. </w:t>
                  </w:r>
                </w:p>
                <w:p>
                  <w:pPr>
                    <w:spacing w:line="360" w:lineRule="auto"/>
                    <w:ind w:firstLine="720"/>
                    <w:jc w:val="both"/>
                    <w:rPr>
                      <w:b/>
                      <w:bCs/>
                      <w:color w:val="000000"/>
                      <w:szCs w:val="24"/>
                    </w:rPr>
                  </w:pPr>
                </w:p>
              </w:sdtContent>
            </w:sdt>
          </w:sdtContent>
        </w:sdt>
        <w:sdt>
          <w:sdtPr>
            <w:alias w:val="5 str."/>
            <w:tag w:val="part_caee853dc259421f8258576c38dc82b6"/>
            <w:lock w:val="sdtLocked"/>
            <w:richText/>
          </w:sdtPr>
          <w:sdtContent>
            <w:p>
              <w:pPr>
                <w:spacing w:line="360" w:lineRule="auto"/>
                <w:ind w:firstLine="720"/>
                <w:jc w:val="both"/>
                <w:rPr>
                  <w:b/>
                  <w:bCs/>
                  <w:color w:val="000000"/>
                  <w:szCs w:val="24"/>
                </w:rPr>
              </w:pPr>
              <w:sdt>
                <w:sdtPr>
                  <w:alias w:val="Numeris"/>
                  <w:tag w:val="nr_caee853dc259421f8258576c38dc82b6"/>
                  <w:lock w:val="sdtLocked"/>
                  <w:richText/>
                </w:sdtPr>
                <w:sdtContent>
                  <w:r>
                    <w:rPr>
                      <w:b/>
                      <w:bCs/>
                      <w:color w:val="000000"/>
                      <w:szCs w:val="24"/>
                    </w:rPr>
                    <w:t>5</w:t>
                  </w:r>
                </w:sdtContent>
              </w:sdt>
              <w:r>
                <w:rPr>
                  <w:b/>
                  <w:bCs/>
                  <w:color w:val="000000"/>
                  <w:szCs w:val="24"/>
                </w:rPr>
                <w:t xml:space="preserve"> straipsnis. </w:t>
              </w:r>
              <w:sdt>
                <w:sdtPr>
                  <w:alias w:val="Pavadinimas"/>
                  <w:tag w:val="title_caee853dc259421f8258576c38dc82b6"/>
                  <w:lock w:val="sdtLocked"/>
                  <w:richText/>
                </w:sdtPr>
                <w:sdtContent>
                  <w:r>
                    <w:rPr>
                      <w:b/>
                      <w:bCs/>
                      <w:color w:val="000000"/>
                      <w:szCs w:val="24"/>
                    </w:rPr>
                    <w:t xml:space="preserve">Įstatymo įsigaliojimas </w:t>
                  </w:r>
                </w:sdtContent>
              </w:sdt>
            </w:p>
            <w:sdt>
              <w:sdtPr>
                <w:alias w:val="5 str. 1 d."/>
                <w:tag w:val="part_850f38132de34ed583f546798ab12547"/>
                <w:lock w:val="sdtLocked"/>
                <w:richText/>
              </w:sdtPr>
              <w:sdtContent>
                <w:p>
                  <w:pPr>
                    <w:spacing w:line="360" w:lineRule="auto"/>
                    <w:ind w:firstLine="720"/>
                    <w:jc w:val="both"/>
                    <w:rPr>
                      <w:color w:val="000000"/>
                      <w:szCs w:val="24"/>
                    </w:rPr>
                  </w:pPr>
                  <w:r>
                    <w:rPr>
                      <w:color w:val="000000"/>
                      <w:szCs w:val="24"/>
                    </w:rPr>
                    <w:t xml:space="preserve">Šis įstatymas įsigalioja 2022 m. liepos 22 d. </w:t>
                  </w:r>
                </w:p>
                <w:p>
                  <w:pPr>
                    <w:spacing w:line="360" w:lineRule="auto"/>
                    <w:ind w:firstLine="720"/>
                    <w:jc w:val="both"/>
                    <w:rPr>
                      <w:i/>
                      <w:szCs w:val="24"/>
                    </w:rPr>
                  </w:pPr>
                </w:p>
              </w:sdtContent>
            </w:sdt>
          </w:sdtContent>
        </w:sdt>
        <w:sdt>
          <w:sdtPr>
            <w:alias w:val="signatura"/>
            <w:tag w:val="part_30c88664548f4f489c14b1e57c13c46e"/>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pPr>
              <w:r>
                <w:rPr>
                  <w:lang w:val="en-US"/>
                </w:rPr>
                <w:t>Respublikos Prezidentas</w:t>
              </w:r>
              <w:r>
                <w:rPr>
                  <w:caps/>
                </w:rPr>
                <w:tab/>
              </w:r>
              <w:r>
                <w:rPr>
                  <w:lang w:val="en-US"/>
                </w:rPr>
                <w:t>Gitanas Nausėda</w:t>
              </w:r>
            </w:p>
          </w:sdtContent>
        </w:sdt>
      </w:sdtContent>
    </w:sdt>
    <w:sectPr>
      <w:type w:val="continuous"/>
      <w:pgSz w:w="11907" w:h="16840" w:code="9"/>
      <w:pgMar w:top="1134" w:right="851" w:bottom="1134" w:left="1701" w:header="706" w:footer="706" w:gutter="0"/>
      <w:cols w:space="1296"/>
      <w:titlePg/>
      <w:docGrid w:linePitch="326"/>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Times New (W1)">
    <w:altName w:val="Times New Roman"/>
    <w:charset w:val="00"/>
    <w:family w:val="roman"/>
    <w:pitch w:val="variable"/>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rPr>
        <w:rFonts w:ascii="TimesLT" w:hAnsi="TimesLT"/>
        <w:lang w:val="en-US"/>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663E1"/>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03563454-D064-467D-8F75-D18CE1B4AC48}"/>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image" Target="media/image1.png"/>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ed481bcaaf3a41e6afd465f8c9e9361d" PartId="8399218b75474c70a96bb00d6e1682f8">
    <Part Type="straipsnis" Nr="1" Abbr="1 str." Title="42 straipsnio pakeitimas" DocPartId="fffec1cb088146cd9538b7d59e981fdb" PartId="cc2534734aa44d2ebc2be4f71f4d4040">
      <Part Type="strDalis" Nr="1" Abbr="1 str. 1 d." DocPartId="4aae278fcee3448280d2bc5302587c6b" PartId="b16860cd5a3d4b0fba5fac017c715f73">
        <Part Type="citata" DocPartId="164afea8092f474bb816511ea925c596" PartId="99f7b17aba1d499a814e6cba7918f490">
          <Part Type="strDalis" Nr="1" Abbr="1 d." DocPartId="14578e8b325d44028a38c172c3cc31b0" PartId="5bbad19ed8674a2eab73d1a58ba39aa1"/>
        </Part>
      </Part>
      <Part Type="strDalis" Nr="2" Abbr="1 str. 2 d." DocPartId="fe47a7fe1bd34d6fb9bb95f7141e2341" PartId="3a88d5b32ea44af0a0ee62c6ff56d058">
        <Part Type="citata" DocPartId="da11b2d649b240ed8a9975a3355c47f9" PartId="63268e109b494cbf863c4e08b6f3709c">
          <Part Type="strPunktas" Nr="16" Abbr="16 p." DocPartId="c9ac847dc3b24ad481931de4a62e9ac8" PartId="284f3117249b421d86cbfb536ff11013"/>
        </Part>
      </Part>
    </Part>
    <Part Type="straipsnis" Nr="2" Abbr="2 str." Title="43³ straipsnio pakeitimas" DocPartId="f8c4c43ce5cb4cc586ace09e1d8b3fd9" PartId="a1a95700106e49a2ba07af4579a599cf">
      <Part Type="strDalis" Nr="1" Abbr="2 str. 1 d." DocPartId="33063656ebb341baac1eb1125445235c" PartId="2e13551f20af4533831aa92a180ac058">
        <Part Type="citata" DocPartId="f76b5af12aed42e7952c15a67a6037b6" PartId="73f8f02775564992bdffd885dbf5a057">
          <Part Type="strDalis" Nr="15" Abbr="15 d." DocPartId="caab2e5471f54646b68cf5fe0517d788" PartId="992ae9b229ff40ddaddffe8f93ee7a6d"/>
        </Part>
      </Part>
    </Part>
    <Part Type="straipsnis" Nr="3" Abbr="3 str." Title="Įstatymo 1 priedo pakeitimas" DocPartId="9b40aa8f35a049c3993182a108c8e682" PartId="39678cd086784b6d83b647d93c6746e8">
      <Part Type="strDalis" Nr="1" Abbr="3 str. 1 d." DocPartId="da1b8eea77314dd4b1c1aaffc5c4e2fe" PartId="6c68a004c5eb448887f42010d840d28d"/>
    </Part>
    <Part Type="straipsnis" Nr="4" Abbr="4 str." Title="Įstatymo 3 priedo pakeitimas" DocPartId="efff7d19fbfa431095770bad24df880b" PartId="e5f6123523e84bcf8ff83fc1b6ac2991">
      <Part Type="strDalis" Nr="1" Abbr="4 str. 1 d." DocPartId="0c785d24b94941478bf26ce25cc1b0b4" PartId="c2f6dd43221c4239be40ca3bb1039346">
        <Part Type="citata" DocPartId="154a27c700e6451ba85907d79737ee04" PartId="3641915f28754d16a657ccca9020501e">
          <Part Type="strDalis" Nr="18" Abbr="18 d." DocPartId="d2d6f036c1524753ba216a05462aa2a5" PartId="e395f41e6a484fdcac745f7da62f0d8f"/>
        </Part>
      </Part>
      <Part Type="strDalis" Nr="2" Abbr="4 str. 2 d." DocPartId="dfbd3cbbba924bd0a59715406d47708e" PartId="f91c376b1a454796867c75f0a2c23b20"/>
    </Part>
    <Part Type="straipsnis" Nr="5" Abbr="5 str." Title="Įstatymo įsigaliojimas" DocPartId="ca1cadb5ec5840d7b3dd9b60f9ae03ad" PartId="caee853dc259421f8258576c38dc82b6">
      <Part Type="strDalis" Nr="1" Abbr="5 str. 1 d." DocPartId="d3a2113c633845ff8a0dc14076725135" PartId="850f38132de34ed583f546798ab12547"/>
    </Part>
    <Part Type="signatura" DocPartId="99e9c898cf8c40728ca3fdd1f266becc" PartId="30c88664548f4f489c14b1e57c13c46e"/>
  </Part>
</Parts>
</file>

<file path=customXml/itemProps1.xml><?xml version="1.0" encoding="utf-8"?>
<ds:datastoreItem xmlns:ds="http://schemas.openxmlformats.org/officeDocument/2006/customXml" ds:itemID="{ECB5E442-BF68-47B7-952F-6053D8316637}">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5</Pages>
  <Words>724</Words>
  <Characters>5326</Characters>
  <Application>Microsoft Office Word</Application>
  <DocSecurity>4</DocSecurity>
  <Lines>115</Lines>
  <Paragraphs>53</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5997</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2022-07-13T13:42:00Z</dcterms:created>
  <dc:creator>MOZERĖ Dainora</dc:creator>
  <lastModifiedBy>adlibuser</lastModifiedBy>
  <lastPrinted>2004-12-10T05:45:00Z</lastPrinted>
  <dcterms:modified xsi:type="dcterms:W3CDTF">2022-07-13T13:42:00Z</dcterms:modified>
  <revision>2</revision>
</coreProperties>
</file>