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E043" w14:textId="0A72CF35" w:rsidR="007F24E9" w:rsidRDefault="00774FEB" w:rsidP="00774FEB">
      <w:pPr>
        <w:tabs>
          <w:tab w:val="center" w:pos="4819"/>
          <w:tab w:val="right" w:pos="9638"/>
        </w:tabs>
        <w:jc w:val="center"/>
        <w:rPr>
          <w:caps/>
          <w:szCs w:val="24"/>
          <w:lang w:eastAsia="lt-LT"/>
        </w:rPr>
      </w:pPr>
      <w:r>
        <w:rPr>
          <w:b/>
          <w:noProof/>
          <w:sz w:val="28"/>
          <w:szCs w:val="22"/>
          <w:lang w:eastAsia="lt-LT"/>
        </w:rPr>
        <w:drawing>
          <wp:inline distT="0" distB="0" distL="0" distR="0" wp14:anchorId="1607E078" wp14:editId="1607E079">
            <wp:extent cx="543560" cy="59563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E044" w14:textId="77777777" w:rsidR="007F24E9" w:rsidRDefault="007F24E9" w:rsidP="00774FEB">
      <w:pPr>
        <w:widowControl w:val="0"/>
        <w:jc w:val="center"/>
        <w:rPr>
          <w:caps/>
          <w:szCs w:val="24"/>
          <w:lang w:eastAsia="lt-LT"/>
        </w:rPr>
      </w:pPr>
    </w:p>
    <w:p w14:paraId="1607E045" w14:textId="77777777" w:rsidR="007F24E9" w:rsidRDefault="00774FEB" w:rsidP="00774FEB">
      <w:pPr>
        <w:widowControl w:val="0"/>
        <w:jc w:val="center"/>
        <w:rPr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RESPUBLIKOS energetikos MINISTRAS</w:t>
      </w:r>
    </w:p>
    <w:p w14:paraId="1607E046" w14:textId="77777777" w:rsidR="007F24E9" w:rsidRDefault="007F24E9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b/>
          <w:bCs/>
          <w:szCs w:val="24"/>
          <w:lang w:eastAsia="lt-LT"/>
        </w:rPr>
      </w:pPr>
    </w:p>
    <w:p w14:paraId="1607E047" w14:textId="77777777" w:rsidR="007F24E9" w:rsidRDefault="00774FEB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1607E048" w14:textId="77777777" w:rsidR="007F24E9" w:rsidRDefault="00774FEB" w:rsidP="00774FEB">
      <w:pPr>
        <w:widowControl w:val="0"/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ENERGETIKOS MINISTRO 2017 M. RUGSĖJO 13 D. ĮSAKYMO NR.  1-241 „DĖL </w:t>
      </w:r>
      <w:r>
        <w:rPr>
          <w:b/>
          <w:bCs/>
          <w:caps/>
          <w:szCs w:val="24"/>
          <w:lang w:eastAsia="lt-LT"/>
        </w:rPr>
        <w:t>2014–2020 METŲ EUROPOS SĄJUNGOS FONDŲ INVESTICIJŲ VEIKSMŲ PROGRAMOS 4 PRIORITETO</w:t>
      </w:r>
      <w:r>
        <w:rPr>
          <w:szCs w:val="24"/>
        </w:rPr>
        <w:t xml:space="preserve"> „</w:t>
      </w:r>
      <w:r>
        <w:rPr>
          <w:b/>
          <w:bCs/>
          <w:szCs w:val="24"/>
          <w:lang w:eastAsia="lt-LT"/>
        </w:rPr>
        <w:t xml:space="preserve">ENERGIJOS EFEKTYVUMO IR </w:t>
      </w:r>
      <w:r>
        <w:rPr>
          <w:b/>
          <w:bCs/>
          <w:szCs w:val="24"/>
          <w:lang w:eastAsia="lt-LT"/>
        </w:rPr>
        <w:t>ATSINAUJINANČIŲ IŠTEKLIŲ ENERGIJOS GAMYBOS IR NAUDOJIMO SKATINIMAS</w:t>
      </w:r>
      <w:r>
        <w:rPr>
          <w:szCs w:val="24"/>
        </w:rPr>
        <w:t>“</w:t>
      </w:r>
      <w:r>
        <w:rPr>
          <w:b/>
          <w:bCs/>
          <w:szCs w:val="24"/>
        </w:rPr>
        <w:t xml:space="preserve"> 04.3.2-LVPA-K-102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PRIEMONĖS </w:t>
      </w:r>
      <w:r>
        <w:rPr>
          <w:szCs w:val="24"/>
        </w:rPr>
        <w:t>„</w:t>
      </w:r>
      <w:r>
        <w:rPr>
          <w:b/>
          <w:bCs/>
          <w:szCs w:val="24"/>
        </w:rPr>
        <w:t>ŠILUMOS TIEKIMO TINKLŲ MODERNIZAVIMAS IR PLĖTRA“</w:t>
      </w:r>
      <w:r>
        <w:rPr>
          <w:szCs w:val="24"/>
        </w:rPr>
        <w:t xml:space="preserve"> </w:t>
      </w:r>
      <w:r>
        <w:rPr>
          <w:b/>
          <w:bCs/>
          <w:caps/>
          <w:szCs w:val="24"/>
          <w:lang w:eastAsia="lt-LT"/>
        </w:rPr>
        <w:t>PROJEKTŲ FINANSAVIMO SĄLYGŲ APRAŠO Nr. 2 PATVIRTINIMO“ PAKEITIMO</w:t>
      </w:r>
    </w:p>
    <w:p w14:paraId="1607E049" w14:textId="77777777" w:rsidR="007F24E9" w:rsidRDefault="007F24E9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1607E04A" w14:textId="77777777" w:rsidR="007F24E9" w:rsidRDefault="00774FEB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2018 m. sausio 5 d. Nr. 1-1</w:t>
      </w:r>
    </w:p>
    <w:p w14:paraId="1607E04B" w14:textId="77777777" w:rsidR="007F24E9" w:rsidRDefault="00774FEB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607E04C" w14:textId="77777777" w:rsidR="007F24E9" w:rsidRDefault="007F24E9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color w:val="000000"/>
          <w:szCs w:val="24"/>
          <w:lang w:eastAsia="lt-LT"/>
        </w:rPr>
      </w:pPr>
    </w:p>
    <w:p w14:paraId="515BDD4C" w14:textId="77777777" w:rsidR="007F24E9" w:rsidRDefault="007F24E9" w:rsidP="00774FEB">
      <w:pPr>
        <w:widowControl w:val="0"/>
        <w:tabs>
          <w:tab w:val="left" w:pos="851"/>
        </w:tabs>
        <w:overflowPunct w:val="0"/>
        <w:jc w:val="center"/>
        <w:textAlignment w:val="baseline"/>
        <w:rPr>
          <w:color w:val="000000"/>
          <w:szCs w:val="24"/>
          <w:lang w:eastAsia="lt-LT"/>
        </w:rPr>
      </w:pPr>
    </w:p>
    <w:p w14:paraId="1607E04D" w14:textId="0871A27A" w:rsidR="007F24E9" w:rsidRDefault="00774FEB">
      <w:pPr>
        <w:widowControl w:val="0"/>
        <w:tabs>
          <w:tab w:val="left" w:pos="851"/>
        </w:tabs>
        <w:overflowPunct w:val="0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</w:t>
      </w:r>
      <w:r>
        <w:rPr>
          <w:color w:val="000000"/>
          <w:szCs w:val="24"/>
          <w:lang w:eastAsia="lt-LT"/>
        </w:rPr>
        <w:t>e i č i u 2014</w:t>
      </w:r>
      <w:r>
        <w:rPr>
          <w:szCs w:val="24"/>
        </w:rPr>
        <w:t>–</w:t>
      </w:r>
      <w:r>
        <w:rPr>
          <w:color w:val="000000"/>
          <w:szCs w:val="24"/>
          <w:lang w:eastAsia="lt-LT"/>
        </w:rPr>
        <w:t xml:space="preserve">2020 metų Europos Sąjungos fondų investicijų veiksmų programos </w:t>
      </w:r>
      <w:r>
        <w:rPr>
          <w:color w:val="000000"/>
          <w:szCs w:val="24"/>
          <w:lang w:eastAsia="lt-LT"/>
        </w:rPr>
        <w:t>4 prioriteto „</w:t>
      </w:r>
      <w:r>
        <w:rPr>
          <w:szCs w:val="24"/>
          <w:lang w:eastAsia="lt-LT"/>
        </w:rPr>
        <w:t xml:space="preserve">Energijos efektyvumo ir atsinaujinančių išteklių energijos gamybos ir naudojimo skatinimas“ 04.3.2-LVPA-K-102 priemonės „Šilumos tiekimo tinklų modernizavimas </w:t>
      </w:r>
      <w:r>
        <w:rPr>
          <w:szCs w:val="24"/>
          <w:lang w:eastAsia="lt-LT"/>
        </w:rPr>
        <w:t>ir plėtra“ projektų finansavimo sąlygų aprašą Nr. 2</w:t>
      </w:r>
      <w:r>
        <w:rPr>
          <w:color w:val="000000"/>
          <w:szCs w:val="24"/>
          <w:lang w:eastAsia="lt-LT"/>
        </w:rPr>
        <w:t>, patvirtintą Lietuvos Respublikos energetikos ministro 2017 m. rugsėjo 13 d. įsakymu Nr. 1-241 „Dėl 2014</w:t>
      </w:r>
      <w:r>
        <w:rPr>
          <w:szCs w:val="24"/>
        </w:rPr>
        <w:t>–</w:t>
      </w:r>
      <w:r>
        <w:rPr>
          <w:color w:val="000000"/>
          <w:szCs w:val="24"/>
          <w:lang w:eastAsia="lt-LT"/>
        </w:rPr>
        <w:t>2020 metų Europos Sąjungos fondų investicijų veiksmų programos 4 prioriteto „Energijos efektyvumo i</w:t>
      </w:r>
      <w:r>
        <w:rPr>
          <w:color w:val="000000"/>
          <w:szCs w:val="24"/>
          <w:lang w:eastAsia="lt-LT"/>
        </w:rPr>
        <w:t xml:space="preserve">r atsinaujinančių išteklių energijos gamybos ir naudojimo skatinimas“ </w:t>
      </w:r>
      <w:r>
        <w:rPr>
          <w:szCs w:val="24"/>
          <w:lang w:eastAsia="lt-LT"/>
        </w:rPr>
        <w:t xml:space="preserve">04.3.2-LVPA-K-102 </w:t>
      </w:r>
      <w:r>
        <w:rPr>
          <w:color w:val="000000"/>
          <w:szCs w:val="24"/>
          <w:lang w:eastAsia="lt-LT"/>
        </w:rPr>
        <w:t>priemonės „</w:t>
      </w:r>
      <w:r>
        <w:rPr>
          <w:szCs w:val="24"/>
          <w:lang w:eastAsia="lt-LT"/>
        </w:rPr>
        <w:t>Šilumos tiekimo tinklų modernizavimas ir plėtra</w:t>
      </w:r>
      <w:r>
        <w:rPr>
          <w:color w:val="000000"/>
          <w:szCs w:val="24"/>
          <w:lang w:eastAsia="lt-LT"/>
        </w:rPr>
        <w:t xml:space="preserve">“ projektų finansavimo sąlygų aprašo Nr. 2 patvirtinimo“: </w:t>
      </w:r>
    </w:p>
    <w:p w14:paraId="1607E04E" w14:textId="77777777" w:rsidR="007F24E9" w:rsidRDefault="00774FEB">
      <w:pPr>
        <w:widowControl w:val="0"/>
        <w:tabs>
          <w:tab w:val="left" w:pos="851"/>
        </w:tabs>
        <w:overflowPunct w:val="0"/>
        <w:ind w:left="1211" w:hanging="36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Pakeičiu 21.2 papunktį ir jį išdėstau taip:</w:t>
      </w:r>
    </w:p>
    <w:p w14:paraId="1607E04F" w14:textId="77777777" w:rsidR="007F24E9" w:rsidRDefault="00774FEB">
      <w:pPr>
        <w:widowControl w:val="0"/>
        <w:tabs>
          <w:tab w:val="left" w:pos="851"/>
          <w:tab w:val="left" w:pos="1276"/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21.2</w:t>
      </w:r>
      <w:r>
        <w:rPr>
          <w:szCs w:val="24"/>
        </w:rPr>
        <w:t xml:space="preserve"> neefektyvaus</w:t>
      </w:r>
      <w:r>
        <w:rPr>
          <w:b/>
          <w:szCs w:val="24"/>
        </w:rPr>
        <w:t xml:space="preserve"> </w:t>
      </w:r>
      <w:r>
        <w:rPr>
          <w:rFonts w:ascii="inherit" w:hAnsi="inherit" w:cs="inherit"/>
          <w:szCs w:val="24"/>
        </w:rPr>
        <w:t>centralizuoto šilumos arba vėsumos tiekimo sistemoje. Tokiu atveju</w:t>
      </w:r>
      <w:r>
        <w:rPr>
          <w:szCs w:val="24"/>
        </w:rPr>
        <w:t xml:space="preserve"> po projekto finansavimo pabaigos bus vertinama, ar tokia sistema atitinka </w:t>
      </w:r>
      <w:r>
        <w:rPr>
          <w:rFonts w:ascii="inherit" w:hAnsi="inherit" w:cs="inherit"/>
          <w:szCs w:val="24"/>
        </w:rPr>
        <w:t xml:space="preserve">centralizuoto šilumos ir vėsumos tiekimo sistemai keliamus reikalavimus, </w:t>
      </w:r>
      <w:r>
        <w:rPr>
          <w:szCs w:val="24"/>
        </w:rPr>
        <w:t xml:space="preserve">ir šiluma gaminama </w:t>
      </w:r>
      <w:r>
        <w:rPr>
          <w:szCs w:val="24"/>
        </w:rPr>
        <w:t>esamam šilumos energijos poreikiui pagal nurodytus naudojamos energijos kiekio procentinius dydžius.“</w:t>
      </w:r>
    </w:p>
    <w:p w14:paraId="1607E050" w14:textId="77777777" w:rsidR="007F24E9" w:rsidRDefault="00774FEB">
      <w:pPr>
        <w:widowControl w:val="0"/>
        <w:tabs>
          <w:tab w:val="left" w:pos="851"/>
        </w:tabs>
        <w:overflowPunct w:val="0"/>
        <w:ind w:left="1211" w:hanging="36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Pakeičiu 31 punktą ir jį išdėstau taip:</w:t>
      </w:r>
    </w:p>
    <w:p w14:paraId="1607E051" w14:textId="77777777" w:rsidR="007F24E9" w:rsidRDefault="00774FEB">
      <w:pPr>
        <w:widowControl w:val="0"/>
        <w:tabs>
          <w:tab w:val="left" w:pos="851"/>
          <w:tab w:val="left" w:pos="1276"/>
        </w:tabs>
        <w:ind w:firstLine="851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31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Skaičiuojant pasiektas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reikšmes ir atsiskaitant už juos turi būti vadovaujam</w:t>
      </w:r>
      <w:r>
        <w:rPr>
          <w:szCs w:val="24"/>
          <w:lang w:eastAsia="lt-LT"/>
        </w:rPr>
        <w:t xml:space="preserve">asi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aprašais. Aprašo 29.1, 29.2 ir 30.1 papunkčiuose nurodytų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aprašai nustatyti Veiksmų programos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apraše. Aprašo 29.3, 30.2 ir 30.3 papunkčiuose nurodytų </w:t>
      </w:r>
      <w:proofErr w:type="spellStart"/>
      <w:r>
        <w:rPr>
          <w:szCs w:val="24"/>
          <w:lang w:eastAsia="lt-LT"/>
        </w:rPr>
        <w:t>stebės</w:t>
      </w:r>
      <w:r>
        <w:rPr>
          <w:szCs w:val="24"/>
          <w:lang w:eastAsia="lt-LT"/>
        </w:rPr>
        <w:t>enos</w:t>
      </w:r>
      <w:proofErr w:type="spellEnd"/>
      <w:r>
        <w:rPr>
          <w:szCs w:val="24"/>
          <w:lang w:eastAsia="lt-LT"/>
        </w:rPr>
        <w:t xml:space="preserve"> rodiklių skaičiavimo aprašai nustatyti Nacionalinių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apraše.“</w:t>
      </w:r>
    </w:p>
    <w:p w14:paraId="1607E052" w14:textId="77777777" w:rsidR="007F24E9" w:rsidRDefault="00774FEB">
      <w:pPr>
        <w:widowControl w:val="0"/>
        <w:tabs>
          <w:tab w:val="left" w:pos="851"/>
        </w:tabs>
        <w:overflowPunct w:val="0"/>
        <w:ind w:left="1211" w:hanging="36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Pakeičiu 62 punktą ir jį išdėstau taip:</w:t>
      </w:r>
    </w:p>
    <w:p w14:paraId="1607E053" w14:textId="77777777" w:rsidR="007F24E9" w:rsidRDefault="00774FEB">
      <w:pPr>
        <w:widowControl w:val="0"/>
        <w:tabs>
          <w:tab w:val="left" w:pos="1276"/>
        </w:tabs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Paraiškos vertinimo metu įgyvendinančioji institucija, vadovaudamasi Projektų administravimo ir fina</w:t>
      </w:r>
      <w:r>
        <w:rPr>
          <w:szCs w:val="24"/>
          <w:lang w:eastAsia="lt-LT"/>
        </w:rPr>
        <w:t xml:space="preserve">nsavimo taisyklių III skyriaus 14 skirsnio nuostatomis, gali paprašyti pareiškėjo pateikti trūkstamą informaciją ir (arba) dokumentus. Pareiškėjas privalo pateikti šią informaciją ir (arba) dokumentus per įgyvendinančiosios institucijos nustatytą terminą. </w:t>
      </w:r>
      <w:r>
        <w:rPr>
          <w:szCs w:val="24"/>
          <w:lang w:eastAsia="lt-LT"/>
        </w:rPr>
        <w:t>Paraiška atmetama neprašius pareiškėjo pateikti papildomų duomenų ar dokumentų, papildyti ar patikslinti paraiškoje pateiktos informacijos, jei pareiškėjas nepateikia Aprašo 58.1 papunktyje nurodytų dokumentų.“</w:t>
      </w:r>
    </w:p>
    <w:p w14:paraId="1607E054" w14:textId="77777777" w:rsidR="007F24E9" w:rsidRDefault="00774FEB">
      <w:pPr>
        <w:widowControl w:val="0"/>
        <w:tabs>
          <w:tab w:val="left" w:pos="851"/>
        </w:tabs>
        <w:overflowPunct w:val="0"/>
        <w:ind w:left="1211" w:hanging="36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 xml:space="preserve">Pakeičiu 1 Priedo 4.2 papunktį jį </w:t>
      </w:r>
      <w:r>
        <w:rPr>
          <w:color w:val="000000"/>
          <w:szCs w:val="24"/>
          <w:lang w:eastAsia="lt-LT"/>
        </w:rPr>
        <w:t>išdėstau taip:</w:t>
      </w:r>
    </w:p>
    <w:p w14:paraId="1607E055" w14:textId="54652435" w:rsidR="007F24E9" w:rsidRDefault="007F24E9">
      <w:pPr>
        <w:widowControl w:val="0"/>
        <w:tabs>
          <w:tab w:val="left" w:pos="851"/>
        </w:tabs>
        <w:overflowPunct w:val="0"/>
        <w:ind w:left="1211"/>
        <w:jc w:val="both"/>
        <w:textAlignment w:val="baseline"/>
        <w:rPr>
          <w:color w:val="000000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4020"/>
        <w:gridCol w:w="1427"/>
        <w:gridCol w:w="1035"/>
      </w:tblGrid>
      <w:tr w:rsidR="007F24E9" w14:paraId="1607E05E" w14:textId="77777777">
        <w:trPr>
          <w:trHeight w:val="519"/>
        </w:trPr>
        <w:tc>
          <w:tcPr>
            <w:tcW w:w="1711" w:type="pct"/>
          </w:tcPr>
          <w:p w14:paraId="1607E056" w14:textId="0693D9A5" w:rsidR="007F24E9" w:rsidRDefault="00774FEB">
            <w:pPr>
              <w:widowControl w:val="0"/>
              <w:ind w:firstLine="851"/>
              <w:jc w:val="both"/>
              <w:rPr>
                <w:i/>
                <w:iCs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4.2. Pasiūlyti konkretūs veiksmai (pademonstruotas </w:t>
            </w:r>
            <w:r>
              <w:rPr>
                <w:sz w:val="22"/>
                <w:szCs w:val="22"/>
                <w:lang w:eastAsia="lt-LT"/>
              </w:rPr>
              <w:lastRenderedPageBreak/>
              <w:t xml:space="preserve">iniciatyvus požiūris), kurie rodo, kad projektas skatina darnaus vystymosi principo įgyvendinimą. </w:t>
            </w:r>
          </w:p>
          <w:p w14:paraId="1607E057" w14:textId="77777777" w:rsidR="007F24E9" w:rsidRDefault="007F24E9">
            <w:pPr>
              <w:widowControl w:val="0"/>
              <w:ind w:firstLine="851"/>
              <w:jc w:val="both"/>
              <w:rPr>
                <w:i/>
                <w:iCs/>
                <w:szCs w:val="24"/>
                <w:lang w:eastAsia="lt-LT"/>
              </w:rPr>
            </w:pPr>
          </w:p>
        </w:tc>
        <w:tc>
          <w:tcPr>
            <w:tcW w:w="2040" w:type="pct"/>
          </w:tcPr>
          <w:p w14:paraId="1607E058" w14:textId="77777777" w:rsidR="007F24E9" w:rsidRDefault="00774FEB">
            <w:pPr>
              <w:widowControl w:val="0"/>
              <w:jc w:val="both"/>
              <w:rPr>
                <w:i/>
                <w:iCs/>
                <w:szCs w:val="24"/>
                <w:lang w:eastAsia="lt-LT"/>
              </w:rPr>
            </w:pPr>
            <w:r>
              <w:rPr>
                <w:sz w:val="22"/>
                <w:szCs w:val="22"/>
              </w:rPr>
              <w:lastRenderedPageBreak/>
              <w:t>Projektas turi siūlyti konkrečius veiksmus, nurodytus Aprašo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35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punkte.</w:t>
            </w:r>
            <w:r>
              <w:rPr>
                <w:i/>
                <w:iCs/>
                <w:sz w:val="22"/>
                <w:szCs w:val="22"/>
                <w:lang w:eastAsia="lt-LT"/>
              </w:rPr>
              <w:t xml:space="preserve"> </w:t>
            </w:r>
          </w:p>
          <w:p w14:paraId="1607E059" w14:textId="77777777" w:rsidR="007F24E9" w:rsidRDefault="007F24E9">
            <w:pPr>
              <w:widowControl w:val="0"/>
              <w:ind w:firstLine="851"/>
              <w:jc w:val="both"/>
              <w:rPr>
                <w:i/>
                <w:iCs/>
                <w:szCs w:val="24"/>
                <w:lang w:eastAsia="lt-LT"/>
              </w:rPr>
            </w:pPr>
          </w:p>
          <w:p w14:paraId="1607E05A" w14:textId="77777777" w:rsidR="007F24E9" w:rsidRDefault="00774FEB">
            <w:pPr>
              <w:widowControl w:val="0"/>
              <w:ind w:firstLine="851"/>
              <w:jc w:val="both"/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Informacijos ša</w:t>
            </w:r>
            <w:r>
              <w:rPr>
                <w:i/>
                <w:iCs/>
                <w:sz w:val="22"/>
                <w:szCs w:val="22"/>
                <w:lang w:eastAsia="lt-LT"/>
              </w:rPr>
              <w:t>ltinis: paraiška ir (arba) investicijų projektas.</w:t>
            </w:r>
          </w:p>
          <w:p w14:paraId="1607E05B" w14:textId="77777777" w:rsidR="007F24E9" w:rsidRDefault="007F24E9">
            <w:pPr>
              <w:widowControl w:val="0"/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724" w:type="pct"/>
          </w:tcPr>
          <w:p w14:paraId="1607E05C" w14:textId="77777777" w:rsidR="007F24E9" w:rsidRDefault="007F24E9">
            <w:pPr>
              <w:widowControl w:val="0"/>
              <w:ind w:firstLine="85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26" w:type="pct"/>
          </w:tcPr>
          <w:p w14:paraId="1607E05D" w14:textId="77777777" w:rsidR="007F24E9" w:rsidRDefault="007F24E9">
            <w:pPr>
              <w:widowControl w:val="0"/>
              <w:ind w:firstLine="851"/>
              <w:jc w:val="both"/>
              <w:rPr>
                <w:szCs w:val="24"/>
                <w:lang w:eastAsia="lt-LT"/>
              </w:rPr>
            </w:pPr>
          </w:p>
        </w:tc>
      </w:tr>
    </w:tbl>
    <w:p w14:paraId="1607E063" w14:textId="4F5EE569" w:rsidR="007F24E9" w:rsidRDefault="00774FEB">
      <w:pPr>
        <w:widowControl w:val="0"/>
        <w:tabs>
          <w:tab w:val="left" w:pos="851"/>
          <w:tab w:val="left" w:pos="7938"/>
        </w:tabs>
        <w:jc w:val="both"/>
        <w:rPr>
          <w:szCs w:val="24"/>
          <w:lang w:eastAsia="lt-LT"/>
        </w:rPr>
      </w:pPr>
    </w:p>
    <w:p w14:paraId="2D022BD4" w14:textId="77777777" w:rsidR="00774FEB" w:rsidRDefault="00774FEB">
      <w:pPr>
        <w:widowControl w:val="0"/>
        <w:tabs>
          <w:tab w:val="left" w:pos="7088"/>
        </w:tabs>
      </w:pPr>
    </w:p>
    <w:p w14:paraId="1D4183A4" w14:textId="77777777" w:rsidR="00774FEB" w:rsidRDefault="00774FEB">
      <w:pPr>
        <w:widowControl w:val="0"/>
        <w:tabs>
          <w:tab w:val="left" w:pos="7088"/>
        </w:tabs>
      </w:pPr>
    </w:p>
    <w:p w14:paraId="45991D63" w14:textId="4758304B" w:rsidR="007F24E9" w:rsidRDefault="00774FEB">
      <w:pPr>
        <w:widowControl w:val="0"/>
        <w:tabs>
          <w:tab w:val="left" w:pos="7088"/>
        </w:tabs>
        <w:rPr>
          <w:szCs w:val="24"/>
          <w:lang w:eastAsia="lt-LT"/>
        </w:rPr>
      </w:pPr>
      <w:bookmarkStart w:id="0" w:name="_GoBack"/>
      <w:bookmarkEnd w:id="0"/>
      <w:r>
        <w:rPr>
          <w:bCs/>
          <w:iCs/>
          <w:szCs w:val="24"/>
        </w:rPr>
        <w:t>Energetikos ministras</w:t>
      </w:r>
      <w:r>
        <w:rPr>
          <w:bCs/>
          <w:iCs/>
          <w:szCs w:val="24"/>
        </w:rPr>
        <w:tab/>
      </w:r>
      <w:r>
        <w:rPr>
          <w:szCs w:val="24"/>
          <w:lang w:eastAsia="lt-LT"/>
        </w:rPr>
        <w:t>Žygimantas Vaičiūnas</w:t>
      </w:r>
    </w:p>
    <w:p w14:paraId="1607E06A" w14:textId="77777777" w:rsidR="007F24E9" w:rsidRDefault="007F24E9">
      <w:pPr>
        <w:widowControl w:val="0"/>
        <w:tabs>
          <w:tab w:val="left" w:pos="851"/>
          <w:tab w:val="left" w:pos="7938"/>
        </w:tabs>
        <w:jc w:val="both"/>
        <w:rPr>
          <w:szCs w:val="24"/>
          <w:lang w:eastAsia="lt-LT"/>
        </w:rPr>
      </w:pPr>
    </w:p>
    <w:p w14:paraId="57180D7C" w14:textId="77777777" w:rsidR="007F24E9" w:rsidRDefault="007F24E9">
      <w:pPr>
        <w:widowControl w:val="0"/>
        <w:tabs>
          <w:tab w:val="left" w:pos="284"/>
        </w:tabs>
        <w:overflowPunct w:val="0"/>
        <w:textAlignment w:val="baseline"/>
        <w:rPr>
          <w:color w:val="000000"/>
          <w:szCs w:val="24"/>
          <w:lang w:eastAsia="lt-LT"/>
        </w:rPr>
      </w:pPr>
    </w:p>
    <w:p w14:paraId="50CA4495" w14:textId="77777777" w:rsidR="007F24E9" w:rsidRDefault="007F24E9">
      <w:pPr>
        <w:widowControl w:val="0"/>
        <w:tabs>
          <w:tab w:val="left" w:pos="284"/>
        </w:tabs>
        <w:overflowPunct w:val="0"/>
        <w:textAlignment w:val="baseline"/>
        <w:rPr>
          <w:color w:val="000000"/>
          <w:szCs w:val="24"/>
          <w:lang w:eastAsia="lt-LT"/>
        </w:rPr>
      </w:pPr>
    </w:p>
    <w:p w14:paraId="44B69094" w14:textId="77777777" w:rsidR="007F24E9" w:rsidRDefault="00774FEB">
      <w:pPr>
        <w:widowControl w:val="0"/>
        <w:tabs>
          <w:tab w:val="left" w:pos="284"/>
        </w:tabs>
        <w:overflowPunct w:val="0"/>
        <w:textAlignment w:val="baseline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SUDERINTA</w:t>
      </w:r>
    </w:p>
    <w:p w14:paraId="2AD55B0E" w14:textId="77777777" w:rsidR="007F24E9" w:rsidRDefault="00774FEB">
      <w:pPr>
        <w:widowControl w:val="0"/>
        <w:tabs>
          <w:tab w:val="left" w:pos="284"/>
        </w:tabs>
        <w:overflowPunct w:val="0"/>
        <w:textAlignment w:val="baseline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Viešosios įstaigos Lietuvos verslo paramos agentūros </w:t>
      </w:r>
    </w:p>
    <w:p w14:paraId="1607E077" w14:textId="30B5E13B" w:rsidR="007F24E9" w:rsidRDefault="00774FEB">
      <w:pPr>
        <w:widowControl w:val="0"/>
        <w:tabs>
          <w:tab w:val="left" w:pos="851"/>
          <w:tab w:val="left" w:pos="7938"/>
        </w:tabs>
        <w:jc w:val="both"/>
        <w:rPr>
          <w:szCs w:val="24"/>
        </w:rPr>
      </w:pPr>
      <w:r>
        <w:rPr>
          <w:color w:val="000000"/>
          <w:szCs w:val="24"/>
          <w:lang w:eastAsia="lt-LT"/>
        </w:rPr>
        <w:t>2017 m. gruodžio 28 d. raštu Nr. R4-6182 (3.14)</w:t>
      </w:r>
    </w:p>
    <w:sectPr w:rsidR="007F2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E07C" w14:textId="77777777" w:rsidR="007F24E9" w:rsidRDefault="00774FEB">
      <w:pPr>
        <w:ind w:firstLine="851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607E07D" w14:textId="77777777" w:rsidR="007F24E9" w:rsidRDefault="00774FEB">
      <w:pPr>
        <w:ind w:firstLine="851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081" w14:textId="77777777" w:rsidR="007F24E9" w:rsidRDefault="007F24E9">
    <w:pPr>
      <w:tabs>
        <w:tab w:val="center" w:pos="4986"/>
        <w:tab w:val="right" w:pos="9972"/>
      </w:tabs>
      <w:ind w:firstLine="851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082" w14:textId="77777777" w:rsidR="007F24E9" w:rsidRDefault="007F24E9">
    <w:pPr>
      <w:tabs>
        <w:tab w:val="center" w:pos="4986"/>
        <w:tab w:val="right" w:pos="9972"/>
      </w:tabs>
      <w:ind w:firstLine="851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084" w14:textId="77777777" w:rsidR="007F24E9" w:rsidRDefault="007F24E9">
    <w:pPr>
      <w:tabs>
        <w:tab w:val="center" w:pos="4986"/>
        <w:tab w:val="right" w:pos="9972"/>
      </w:tabs>
      <w:ind w:firstLine="851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E07A" w14:textId="77777777" w:rsidR="007F24E9" w:rsidRDefault="00774FEB">
      <w:pPr>
        <w:ind w:firstLine="851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607E07B" w14:textId="77777777" w:rsidR="007F24E9" w:rsidRDefault="00774FEB">
      <w:pPr>
        <w:ind w:firstLine="851"/>
        <w:jc w:val="both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07E" w14:textId="77777777" w:rsidR="007F24E9" w:rsidRDefault="007F24E9">
    <w:pPr>
      <w:tabs>
        <w:tab w:val="center" w:pos="4819"/>
        <w:tab w:val="right" w:pos="9638"/>
      </w:tabs>
      <w:ind w:firstLine="851"/>
      <w:jc w:val="center"/>
      <w:rPr>
        <w:szCs w:val="24"/>
      </w:rPr>
    </w:pPr>
  </w:p>
  <w:p w14:paraId="1607E07F" w14:textId="77777777" w:rsidR="007F24E9" w:rsidRDefault="007F24E9">
    <w:pPr>
      <w:tabs>
        <w:tab w:val="center" w:pos="4819"/>
        <w:tab w:val="right" w:pos="9638"/>
      </w:tabs>
      <w:ind w:firstLine="851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080" w14:textId="77777777" w:rsidR="007F24E9" w:rsidRDefault="00774FEB">
    <w:pPr>
      <w:tabs>
        <w:tab w:val="center" w:pos="4819"/>
        <w:tab w:val="right" w:pos="9638"/>
      </w:tabs>
      <w:ind w:firstLine="851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083" w14:textId="77777777" w:rsidR="007F24E9" w:rsidRDefault="007F24E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6"/>
    <w:rsid w:val="00010B06"/>
    <w:rsid w:val="00774FEB"/>
    <w:rsid w:val="007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2018-01-05T12:12:00Z</dcterms:created>
  <dc:creator>Laura Rimsaite</dc:creator>
  <lastModifiedBy>PAVKŠTELO Julita</lastModifiedBy>
  <lastPrinted>2018-01-05T05:37:00Z</lastPrinted>
  <dcterms:modified xsi:type="dcterms:W3CDTF">2018-01-05T12:15:00Z</dcterms:modified>
  <revision>3</revision>
</coreProperties>
</file>