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rFonts w:ascii="TimesLT" w:hAnsi="TimesLT" w:cs="TimesLT"/>
          <w:sz w:val="20"/>
        </w:rPr>
      </w:pPr>
      <w:r>
        <w:rPr>
          <w:rFonts w:ascii="TimesLT" w:hAnsi="TimesLT" w:cs="TimesLT"/>
          <w:sz w:val="20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0.5pt" o:ole="" fillcolor="window">
            <v:imagedata r:id="rId7" o:title=""/>
          </v:shape>
          <o:OLEObject Type="Embed" ProgID="Word.Picture.8" ShapeID="_x0000_i1025" DrawAspect="Content" ObjectID="_1551599157" r:id="rId8"/>
        </w:object>
      </w: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LIETUVOS RESPUBLIKOS</w:t>
      </w:r>
    </w:p>
    <w:p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VYRIAUSIOJI RINKIMŲ KOMISIJA</w:t>
      </w: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rFonts w:ascii="TimesLT" w:hAnsi="TimesLT" w:cs="TimesLT"/>
          <w:sz w:val="20"/>
          <w:lang w:val="en-GB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NAUJIENŲ PORTALE „RASEINIŠKIS.LT“ NUOMONIŲ SKILTYJE TALPINAMOS INFORMACIJOS VERTINIMO </w:t>
      </w: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2017 m. kovo 17 d. Nr. Sp-68</w:t>
      </w:r>
    </w:p>
    <w:p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Vilnius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360" w:lineRule="auto"/>
        <w:ind w:firstLine="709"/>
        <w:jc w:val="both"/>
        <w:rPr>
          <w:bCs/>
          <w:szCs w:val="24"/>
        </w:rPr>
      </w:pPr>
      <w:r>
        <w:rPr>
          <w:szCs w:val="24"/>
        </w:rPr>
        <w:t>Lietuvos Respublikos vyriausioji rinkimų komisija, v</w:t>
      </w:r>
      <w:r>
        <w:rPr>
          <w:bCs/>
          <w:szCs w:val="24"/>
        </w:rPr>
        <w:t xml:space="preserve">adovaudamasi Lietuvos Respublikos politinių kampanijų finansavimo ir finansavimo kontrolės įstatymo 2 straipsnio 8 dalimi,  14  straipsnio 1 dalimi, 15 straipsnio 1 ir 2 dalimis, 16 straipsnio 2 dalies 1 punktu ir 6 dalies 2 punktu, 17 straipsnio 6 ir 7  dalimis, </w:t>
      </w:r>
      <w:r>
        <w:rPr>
          <w:bCs/>
          <w:spacing w:val="40"/>
          <w:szCs w:val="24"/>
        </w:rPr>
        <w:t>nusprendžia</w:t>
      </w:r>
      <w:r>
        <w:rPr>
          <w:bCs/>
          <w:szCs w:val="24"/>
        </w:rPr>
        <w:t>:</w:t>
      </w:r>
    </w:p>
    <w:p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Pritarti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Politinių partijų ir politinių kampanijų finansavimo kontrolės skyriaus 2017 m. sausio 23 d. pažymai Nr. 3-17 (1.2) „Dėl naujienų portale „raseiniškis.lt“ nuomonių skiltyje talpinamos informacijos vertinimo“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(pridedama). </w:t>
      </w:r>
    </w:p>
    <w:p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>2</w:t>
      </w:r>
      <w:r>
        <w:rPr>
          <w:szCs w:val="24"/>
        </w:rPr>
        <w:t>. Pripažinti, kad 2016 m. spalio 9 d. Seimo rinkimų politinės kampanijos laikotarpiu interneto svetainėje „raseiniškis.lt“ paskelbti straipsniai „V. Gapšys. PVM vingrybės ir keliai į Lenkiją“, „D. Mikutienė. „Raginame Lietuvos geležinkelius kuo skubiau įdiegti traukiniuose defibriliatorius“, „Viktoras Fiodorovas. „Girtas prie vairo – nieko tokio?“ ir „V. Fiodorovas Ministre, nejau dėl stringančios E. sveikatos sistemos kalti žmonės ir medikai?“ yra politinė reklama.</w:t>
      </w:r>
    </w:p>
    <w:p>
      <w:pPr>
        <w:spacing w:line="360" w:lineRule="auto"/>
        <w:ind w:left="709"/>
        <w:jc w:val="both"/>
        <w:rPr>
          <w:b/>
          <w:bCs/>
          <w:szCs w:val="24"/>
        </w:rPr>
      </w:pPr>
      <w:r>
        <w:rPr>
          <w:szCs w:val="24"/>
        </w:rPr>
        <w:t>3</w:t>
      </w:r>
      <w:r>
        <w:rPr>
          <w:szCs w:val="24"/>
        </w:rPr>
        <w:t>. Pripažinus 2 punkte nurodytus straipsnius politine reklama:</w:t>
      </w:r>
    </w:p>
    <w:p>
      <w:pPr>
        <w:spacing w:line="360" w:lineRule="auto"/>
        <w:ind w:left="709"/>
        <w:jc w:val="both"/>
        <w:rPr>
          <w:b/>
          <w:bCs/>
          <w:szCs w:val="24"/>
        </w:rPr>
      </w:pPr>
      <w:r>
        <w:rPr>
          <w:szCs w:val="24"/>
        </w:rPr>
        <w:t>3.1</w:t>
      </w:r>
      <w:r>
        <w:rPr>
          <w:szCs w:val="24"/>
        </w:rPr>
        <w:t xml:space="preserve">. pripažinti juos paslėpta politine reklama; </w:t>
      </w:r>
    </w:p>
    <w:p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>3.2</w:t>
      </w:r>
      <w:r>
        <w:rPr>
          <w:szCs w:val="24"/>
        </w:rPr>
        <w:t>. įpareigoti Politinių partijų ir politinių kampanijų finansavimo kontrolės skyrių 1 punkte minimų pranešimų paskelbimo išlaidas (290,40 Eur) nurodyti Darbo partijos politinės kampanijos finansavimo ataskaitoje ir finansinės apskaitos žiniaraštyje.</w:t>
      </w:r>
    </w:p>
    <w:p>
      <w:pPr>
        <w:spacing w:line="360" w:lineRule="auto"/>
        <w:ind w:left="709"/>
        <w:jc w:val="both"/>
        <w:rPr>
          <w:b/>
          <w:bCs/>
          <w:szCs w:val="24"/>
        </w:rPr>
      </w:pPr>
    </w:p>
    <w:p>
      <w:pPr>
        <w:spacing w:line="360" w:lineRule="auto"/>
        <w:rPr>
          <w:bCs/>
          <w:szCs w:val="24"/>
        </w:rPr>
      </w:pPr>
    </w:p>
    <w:p>
      <w:pPr>
        <w:rPr>
          <w:szCs w:val="24"/>
        </w:rPr>
      </w:pPr>
      <w:r>
        <w:rPr>
          <w:szCs w:val="24"/>
        </w:rPr>
        <w:t>Pirmininkas</w:t>
        <w:tab/>
        <w:tab/>
        <w:tab/>
        <w:tab/>
        <w:tab/>
        <w:t xml:space="preserve">                   Zenonas Vaigauskas</w:t>
      </w:r>
    </w:p>
    <w:p>
      <w:pPr>
        <w:spacing w:line="360" w:lineRule="auto"/>
        <w:rPr>
          <w:bCs/>
          <w:szCs w:val="24"/>
        </w:rPr>
      </w:pP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rFonts w:ascii="TimesLT" w:hAnsi="TimesLT" w:cs="TimesLT"/>
        <w:sz w:val="20"/>
        <w:lang w:val="en-GB"/>
      </w:rPr>
    </w:pPr>
    <w:r>
      <w:rPr>
        <w:rFonts w:ascii="TimesLT" w:hAnsi="TimesLT" w:cs="TimesLT"/>
        <w:sz w:val="20"/>
        <w:lang w:val="en-GB"/>
      </w:rPr>
      <w:fldChar w:fldCharType="begin"/>
    </w:r>
    <w:r>
      <w:rPr>
        <w:rFonts w:ascii="TimesLT" w:hAnsi="TimesLT" w:cs="TimesLT"/>
        <w:sz w:val="20"/>
        <w:lang w:val="en-GB"/>
      </w:rPr>
      <w:instrText>PAGE   \* MERGEFORMAT</w:instrText>
    </w:r>
    <w:r>
      <w:rPr>
        <w:rFonts w:ascii="TimesLT" w:hAnsi="TimesLT" w:cs="TimesLT"/>
        <w:sz w:val="20"/>
        <w:lang w:val="en-GB"/>
      </w:rPr>
      <w:fldChar w:fldCharType="separate"/>
    </w:r>
    <w:r>
      <w:rPr>
        <w:rFonts w:ascii="TimesLT" w:hAnsi="TimesLT" w:cs="TimesLT"/>
        <w:sz w:val="20"/>
      </w:rPr>
      <w:t>2</w:t>
    </w:r>
    <w:r>
      <w:rPr>
        <w:rFonts w:ascii="TimesLT" w:hAnsi="TimesLT" w:cs="TimesLT"/>
        <w:sz w:val="20"/>
        <w:lang w:val="en-GB"/>
      </w:rPr>
      <w:fldChar w:fldCharType="end"/>
    </w:r>
  </w:p>
  <w:p>
    <w:pPr>
      <w:tabs>
        <w:tab w:val="center" w:pos="4819"/>
        <w:tab w:val="right" w:pos="9638"/>
      </w:tabs>
      <w:rPr>
        <w:rFonts w:ascii="TimesLT" w:hAnsi="TimesLT" w:cs="TimesLT"/>
        <w:sz w:val="20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1467</Characters>
  <Application>Microsoft Office Word</Application>
  <DocSecurity>4</DocSecurity>
  <Lines>37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2017-03-21T08:59:00Z</dcterms:created>
  <dc:creator>MIEŽYTĖ Estera</dc:creator>
  <lastModifiedBy>adlibuser</lastModifiedBy>
  <dcterms:modified xsi:type="dcterms:W3CDTF">2017-03-21T08:59:00Z</dcterms:modified>
  <revision>2</revision>
</coreProperties>
</file>