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ff1dd27041e40cfa6991c69614ec4bf"/>
        <w:id w:val="1333489455"/>
        <w:lock w:val="sdtLocked"/>
      </w:sdtPr>
      <w:sdtEndPr/>
      <w:sdtContent>
        <w:p w:rsidR="00CA61C9" w:rsidRDefault="00B30B75">
          <w:pPr>
            <w:suppressAutoHyphens/>
            <w:jc w:val="center"/>
            <w:rPr>
              <w:b/>
              <w:bCs/>
              <w:lang w:eastAsia="lt-LT"/>
            </w:rPr>
          </w:pPr>
          <w:r>
            <w:rPr>
              <w:noProof/>
              <w:lang w:eastAsia="lt-LT"/>
            </w:rPr>
            <w:drawing>
              <wp:inline distT="0" distB="0" distL="0" distR="0" wp14:anchorId="27BCD989" wp14:editId="12F21F4F">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CA61C9" w:rsidRDefault="00CA61C9" w:rsidP="00B30B75">
          <w:pPr>
            <w:jc w:val="center"/>
            <w:rPr>
              <w:sz w:val="10"/>
              <w:szCs w:val="10"/>
            </w:rPr>
          </w:pPr>
        </w:p>
        <w:p w:rsidR="00CA61C9" w:rsidRDefault="00B30B75" w:rsidP="00B30B75">
          <w:pPr>
            <w:suppressAutoHyphens/>
            <w:jc w:val="center"/>
            <w:rPr>
              <w:b/>
              <w:bCs/>
              <w:lang w:eastAsia="lt-LT"/>
            </w:rPr>
          </w:pPr>
          <w:r>
            <w:rPr>
              <w:b/>
              <w:bCs/>
              <w:lang w:eastAsia="lt-LT"/>
            </w:rPr>
            <w:t>LIETUVOS RESPUBLIKOS APLINKOS MINISTRAS</w:t>
          </w:r>
        </w:p>
        <w:p w:rsidR="00CA61C9" w:rsidRDefault="00CA61C9" w:rsidP="00B30B75">
          <w:pPr>
            <w:jc w:val="center"/>
            <w:rPr>
              <w:sz w:val="6"/>
              <w:szCs w:val="6"/>
            </w:rPr>
          </w:pPr>
        </w:p>
        <w:p w:rsidR="00CA61C9" w:rsidRDefault="00CA61C9" w:rsidP="00B30B75">
          <w:pPr>
            <w:suppressAutoHyphens/>
            <w:jc w:val="center"/>
            <w:rPr>
              <w:b/>
              <w:bCs/>
              <w:lang w:eastAsia="lt-LT"/>
            </w:rPr>
          </w:pPr>
        </w:p>
        <w:p w:rsidR="00CA61C9" w:rsidRDefault="00CA61C9" w:rsidP="00B30B75">
          <w:pPr>
            <w:jc w:val="center"/>
            <w:rPr>
              <w:sz w:val="6"/>
              <w:szCs w:val="6"/>
            </w:rPr>
          </w:pPr>
        </w:p>
        <w:p w:rsidR="00CA61C9" w:rsidRDefault="00B30B75" w:rsidP="00B30B75">
          <w:pPr>
            <w:suppressAutoHyphens/>
            <w:jc w:val="center"/>
            <w:rPr>
              <w:b/>
              <w:bCs/>
              <w:lang w:eastAsia="lt-LT"/>
            </w:rPr>
          </w:pPr>
          <w:r>
            <w:rPr>
              <w:b/>
              <w:bCs/>
              <w:lang w:eastAsia="lt-LT"/>
            </w:rPr>
            <w:t>ĮSAKYMAS</w:t>
          </w:r>
        </w:p>
        <w:p w:rsidR="00CA61C9" w:rsidRDefault="00B30B75" w:rsidP="00B30B75">
          <w:pPr>
            <w:suppressAutoHyphens/>
            <w:jc w:val="center"/>
            <w:rPr>
              <w:b/>
              <w:lang w:eastAsia="lt-LT"/>
            </w:rPr>
          </w:pPr>
          <w:r>
            <w:rPr>
              <w:b/>
              <w:bCs/>
              <w:szCs w:val="24"/>
              <w:lang w:eastAsia="lt-LT"/>
            </w:rPr>
            <w:t xml:space="preserve">DĖL </w:t>
          </w:r>
          <w:r>
            <w:rPr>
              <w:b/>
              <w:caps/>
              <w:szCs w:val="24"/>
              <w:lang w:eastAsia="lt-LT"/>
            </w:rPr>
            <w:t xml:space="preserve">Lietuvos Respublikos aplinkos ministro 2004 m. balandžio 15 d. įsakymo Nr. D1-187 „Dėl Aplinkosaugos sąlygų plaukioti </w:t>
          </w:r>
          <w:r>
            <w:rPr>
              <w:b/>
              <w:caps/>
              <w:szCs w:val="24"/>
              <w:lang w:eastAsia="lt-LT"/>
            </w:rPr>
            <w:t>paviršiniuose vandens telkiniuose plaukiojimo priemonėmis ir plūduriuojančių priemonių įrengimo ir naudojimo, jų statymo ir (arba) švartavimo aplinkosauginių reikalavimų patvirtinimo“ pakeitimo</w:t>
          </w:r>
        </w:p>
        <w:p w:rsidR="00CA61C9" w:rsidRDefault="00CA61C9" w:rsidP="00B30B75">
          <w:pPr>
            <w:suppressAutoHyphens/>
            <w:jc w:val="center"/>
            <w:rPr>
              <w:b/>
              <w:lang w:eastAsia="lt-LT"/>
            </w:rPr>
          </w:pPr>
        </w:p>
        <w:p w:rsidR="00B30B75" w:rsidRPr="00B30B75" w:rsidRDefault="00B30B75" w:rsidP="00B30B75">
          <w:pPr>
            <w:suppressAutoHyphens/>
            <w:jc w:val="center"/>
            <w:rPr>
              <w:szCs w:val="24"/>
              <w:lang w:eastAsia="lt-LT"/>
            </w:rPr>
          </w:pPr>
          <w:r>
            <w:rPr>
              <w:lang w:eastAsia="lt-LT"/>
            </w:rPr>
            <w:t xml:space="preserve">2024 m. balandžio 9 </w:t>
          </w:r>
          <w:r>
            <w:rPr>
              <w:lang w:eastAsia="lt-LT"/>
            </w:rPr>
            <w:t xml:space="preserve">d. Nr. </w:t>
          </w:r>
          <w:r w:rsidRPr="00B30B75">
            <w:rPr>
              <w:szCs w:val="24"/>
              <w:lang w:eastAsia="lt-LT"/>
            </w:rPr>
            <w:t>D1-113</w:t>
          </w:r>
        </w:p>
        <w:p w:rsidR="00B30B75" w:rsidRDefault="00B30B75" w:rsidP="00B30B75">
          <w:pPr>
            <w:suppressAutoHyphens/>
            <w:jc w:val="center"/>
            <w:rPr>
              <w:lang w:eastAsia="lt-LT"/>
            </w:rPr>
          </w:pPr>
          <w:r>
            <w:rPr>
              <w:lang w:eastAsia="lt-LT"/>
            </w:rPr>
            <w:t>Vilnius</w:t>
          </w:r>
        </w:p>
        <w:p w:rsidR="00CA61C9" w:rsidRPr="00B30B75" w:rsidRDefault="00CA61C9" w:rsidP="00B30B75">
          <w:pPr>
            <w:suppressAutoHyphens/>
            <w:jc w:val="center"/>
            <w:rPr>
              <w:szCs w:val="24"/>
              <w:lang w:eastAsia="lt-LT"/>
            </w:rPr>
          </w:pPr>
        </w:p>
        <w:p w:rsidR="00CA61C9" w:rsidRPr="00B30B75" w:rsidRDefault="00CA61C9" w:rsidP="00B30B75">
          <w:pPr>
            <w:suppressAutoHyphens/>
            <w:jc w:val="center"/>
            <w:rPr>
              <w:spacing w:val="8"/>
              <w:szCs w:val="24"/>
              <w:lang w:eastAsia="lt-LT"/>
            </w:rPr>
          </w:pPr>
        </w:p>
        <w:sdt>
          <w:sdtPr>
            <w:alias w:val="preambule"/>
            <w:tag w:val="part_d31b46db036e4fe2a0e076795702de86"/>
            <w:id w:val="-198859626"/>
            <w:lock w:val="sdtLocked"/>
          </w:sdtPr>
          <w:sdtEndPr/>
          <w:sdtContent>
            <w:p w:rsidR="00CA61C9" w:rsidRDefault="00B30B75">
              <w:pPr>
                <w:suppressAutoHyphens/>
                <w:spacing w:line="276" w:lineRule="auto"/>
                <w:ind w:firstLine="709"/>
                <w:jc w:val="both"/>
                <w:textAlignment w:val="center"/>
                <w:rPr>
                  <w:color w:val="000000"/>
                  <w:szCs w:val="24"/>
                  <w:lang w:eastAsia="lt-LT"/>
                </w:rPr>
              </w:pPr>
              <w:r>
                <w:rPr>
                  <w:spacing w:val="60"/>
                  <w:szCs w:val="24"/>
                  <w:lang w:eastAsia="lt-LT"/>
                </w:rPr>
                <w:t>Pakeičiu</w:t>
              </w:r>
              <w:r>
                <w:rPr>
                  <w:szCs w:val="24"/>
                  <w:lang w:eastAsia="lt-LT"/>
                </w:rPr>
                <w:t xml:space="preserve"> </w:t>
              </w:r>
              <w:r>
                <w:rPr>
                  <w:color w:val="000000"/>
                  <w:szCs w:val="24"/>
                  <w:lang w:eastAsia="lt-LT"/>
                </w:rPr>
                <w:t>Aplinkosaugos sąlygas plaukioti paviršiniuose vandens telkiniuose plaukiojimo priemonėmis ir plūduriuojančių priemonių įrengimo ir naudojimo, jų statymo ir (arba) švartavimo aplinkosauginius reikalavimus, patvirtintus</w:t>
              </w:r>
              <w:r>
                <w:rPr>
                  <w:color w:val="000000"/>
                  <w:spacing w:val="33"/>
                  <w:szCs w:val="24"/>
                  <w:lang w:eastAsia="lt-LT"/>
                </w:rPr>
                <w:t xml:space="preserve"> </w:t>
              </w:r>
              <w:r>
                <w:rPr>
                  <w:color w:val="000000"/>
                  <w:szCs w:val="24"/>
                  <w:lang w:eastAsia="lt-LT"/>
                </w:rPr>
                <w:t>Lietuvos Respublikos aplinkos</w:t>
              </w:r>
              <w:r>
                <w:rPr>
                  <w:color w:val="000000"/>
                  <w:szCs w:val="24"/>
                  <w:lang w:eastAsia="lt-LT"/>
                </w:rPr>
                <w:t xml:space="preserve"> ministro 2004 m. balandžio 15 d. įsakymu Nr. D1-187 „</w:t>
              </w:r>
              <w:r>
                <w:rPr>
                  <w:szCs w:val="24"/>
                  <w:lang w:eastAsia="lt-LT"/>
                </w:rPr>
                <w:t xml:space="preserve">Dėl </w:t>
              </w:r>
              <w:r>
                <w:rPr>
                  <w:color w:val="000000"/>
                  <w:szCs w:val="24"/>
                  <w:lang w:eastAsia="lt-LT"/>
                </w:rPr>
                <w:t>Aplinkosaugos sąlygų plaukioti paviršiniuose vandens telkiniuose plaukiojimo priemonėmis ir plūduriuojančių priemonių įrengimo ir naudojimo, jų statymo ir (arba) švartavimo aplinkosauginių reikalavi</w:t>
              </w:r>
              <w:r>
                <w:rPr>
                  <w:color w:val="000000"/>
                  <w:szCs w:val="24"/>
                  <w:lang w:eastAsia="lt-LT"/>
                </w:rPr>
                <w:t>mų</w:t>
              </w:r>
              <w:r>
                <w:rPr>
                  <w:szCs w:val="24"/>
                  <w:lang w:eastAsia="lt-LT"/>
                </w:rPr>
                <w:t xml:space="preserve"> patvirtinimo</w:t>
              </w:r>
              <w:r>
                <w:rPr>
                  <w:color w:val="000000"/>
                  <w:szCs w:val="24"/>
                  <w:lang w:eastAsia="lt-LT"/>
                </w:rPr>
                <w:t>“:</w:t>
              </w:r>
            </w:p>
          </w:sdtContent>
        </w:sdt>
        <w:sdt>
          <w:sdtPr>
            <w:alias w:val="1 p."/>
            <w:tag w:val="part_244a1cd7a39c48a6ae9ea4d9d1b3b9a3"/>
            <w:id w:val="-1904519196"/>
            <w:lock w:val="sdtLocked"/>
          </w:sdtPr>
          <w:sdtEndPr/>
          <w:sdtContent>
            <w:p w:rsidR="00CA61C9" w:rsidRDefault="00B30B75" w:rsidP="00B30B75">
              <w:pPr>
                <w:suppressAutoHyphens/>
                <w:spacing w:line="276" w:lineRule="auto"/>
                <w:ind w:firstLine="709"/>
                <w:jc w:val="both"/>
                <w:textAlignment w:val="center"/>
                <w:rPr>
                  <w:color w:val="000000"/>
                  <w:szCs w:val="24"/>
                  <w:lang w:eastAsia="lt-LT"/>
                </w:rPr>
              </w:pPr>
              <w:sdt>
                <w:sdtPr>
                  <w:alias w:val="Numeris"/>
                  <w:tag w:val="nr_244a1cd7a39c48a6ae9ea4d9d1b3b9a3"/>
                  <w:id w:val="1949965869"/>
                  <w:lock w:val="sdtLocked"/>
                </w:sdtPr>
                <w:sdtEndPr/>
                <w:sdtContent>
                  <w:r>
                    <w:rPr>
                      <w:color w:val="000000"/>
                      <w:szCs w:val="24"/>
                      <w:lang w:eastAsia="lt-LT"/>
                    </w:rPr>
                    <w:t>1</w:t>
                  </w:r>
                </w:sdtContent>
              </w:sdt>
              <w:r>
                <w:rPr>
                  <w:color w:val="000000"/>
                  <w:szCs w:val="24"/>
                  <w:lang w:eastAsia="lt-LT"/>
                </w:rPr>
                <w:t>. Pakeičiu 2.5 papunktį ir jį išdėstau taip:</w:t>
              </w:r>
            </w:p>
            <w:sdt>
              <w:sdtPr>
                <w:alias w:val="citata"/>
                <w:tag w:val="part_b12a9040dba840d7a42019cd8c9354f5"/>
                <w:id w:val="842601445"/>
                <w:lock w:val="sdtLocked"/>
              </w:sdtPr>
              <w:sdtEndPr/>
              <w:sdtContent>
                <w:sdt>
                  <w:sdtPr>
                    <w:alias w:val="2.5 pp."/>
                    <w:tag w:val="part_6c5711d2f3004bca97dd98fd0d11a867"/>
                    <w:id w:val="-1944063329"/>
                    <w:lock w:val="sdtLocked"/>
                  </w:sdtPr>
                  <w:sdtEndPr/>
                  <w:sdtContent>
                    <w:p w:rsidR="00CA61C9" w:rsidRDefault="00B30B75" w:rsidP="00B30B75">
                      <w:pPr>
                        <w:suppressAutoHyphens/>
                        <w:spacing w:line="276" w:lineRule="auto"/>
                        <w:ind w:firstLine="709"/>
                        <w:jc w:val="both"/>
                        <w:textAlignment w:val="center"/>
                        <w:rPr>
                          <w:rFonts w:eastAsia="Calibri"/>
                          <w:szCs w:val="24"/>
                          <w:lang w:eastAsia="lt-LT"/>
                        </w:rPr>
                      </w:pPr>
                      <w:r>
                        <w:rPr>
                          <w:color w:val="000000"/>
                          <w:szCs w:val="24"/>
                          <w:lang w:eastAsia="lt-LT"/>
                        </w:rPr>
                        <w:t>„</w:t>
                      </w:r>
                      <w:sdt>
                        <w:sdtPr>
                          <w:alias w:val="Numeris"/>
                          <w:tag w:val="nr_6c5711d2f3004bca97dd98fd0d11a867"/>
                          <w:id w:val="-254289976"/>
                          <w:lock w:val="sdtLocked"/>
                        </w:sdtPr>
                        <w:sdtEndPr/>
                        <w:sdtContent>
                          <w:r>
                            <w:rPr>
                              <w:color w:val="000000"/>
                              <w:szCs w:val="24"/>
                              <w:lang w:eastAsia="lt-LT"/>
                            </w:rPr>
                            <w:t>2.5</w:t>
                          </w:r>
                        </w:sdtContent>
                      </w:sdt>
                      <w:r>
                        <w:rPr>
                          <w:color w:val="000000"/>
                          <w:szCs w:val="24"/>
                          <w:lang w:eastAsia="lt-LT"/>
                        </w:rPr>
                        <w:t>. kitos Aplinkosaugos sąlygose vartojamos sąvokos apibrėžtos Lietuvos Respublikos vidaus vandenų transporto kodekse, Lietuvos Respublikos vandens įstatyme, Lietuvos Respublikos saugo</w:t>
                      </w:r>
                      <w:r>
                        <w:rPr>
                          <w:color w:val="000000"/>
                          <w:szCs w:val="24"/>
                          <w:lang w:eastAsia="lt-LT"/>
                        </w:rPr>
                        <w:t>mų teritorijų įstatyme, Lietuvos Respublikos teritorijų planavimo įstatyme, Lietuvos Respublikos sporto įstatyme, Lietuvos Respublikos geriamojo vandens tiekimo ir nuotekų tvarkymo įstatyme,</w:t>
                      </w:r>
                      <w:r>
                        <w:rPr>
                          <w:b/>
                          <w:bCs/>
                          <w:color w:val="000000"/>
                          <w:szCs w:val="24"/>
                          <w:lang w:eastAsia="lt-LT"/>
                        </w:rPr>
                        <w:t xml:space="preserve"> </w:t>
                      </w:r>
                      <w:r>
                        <w:rPr>
                          <w:color w:val="000000"/>
                          <w:szCs w:val="24"/>
                          <w:lang w:eastAsia="lt-LT"/>
                        </w:rPr>
                        <w:t>Lietuvos Respublikos</w:t>
                      </w:r>
                      <w:r>
                        <w:rPr>
                          <w:color w:val="000000"/>
                          <w:bdr w:val="none" w:sz="0" w:space="0" w:color="auto" w:frame="1"/>
                          <w:shd w:val="clear" w:color="auto" w:fill="FFFFFF"/>
                          <w:lang w:eastAsia="lt-LT"/>
                        </w:rPr>
                        <w:t xml:space="preserve"> planuojamos ūkinės veiklos poveikio aplinkai</w:t>
                      </w:r>
                      <w:r>
                        <w:rPr>
                          <w:color w:val="000000"/>
                          <w:bdr w:val="none" w:sz="0" w:space="0" w:color="auto" w:frame="1"/>
                          <w:shd w:val="clear" w:color="auto" w:fill="FFFFFF"/>
                          <w:lang w:eastAsia="lt-LT"/>
                        </w:rPr>
                        <w:t xml:space="preserve"> vertinimo įstatyme.</w:t>
                      </w:r>
                      <w:r>
                        <w:rPr>
                          <w:color w:val="000000"/>
                          <w:szCs w:val="24"/>
                          <w:lang w:eastAsia="lt-LT"/>
                        </w:rPr>
                        <w:t>“</w:t>
                      </w:r>
                    </w:p>
                  </w:sdtContent>
                </w:sdt>
              </w:sdtContent>
            </w:sdt>
          </w:sdtContent>
        </w:sdt>
        <w:sdt>
          <w:sdtPr>
            <w:alias w:val="2 p."/>
            <w:tag w:val="part_7f5ae56ee36c4f818219e229980bf57b"/>
            <w:id w:val="821542426"/>
            <w:lock w:val="sdtLocked"/>
          </w:sdtPr>
          <w:sdtEndPr/>
          <w:sdtContent>
            <w:p w:rsidR="00CA61C9" w:rsidRDefault="00B30B75">
              <w:pPr>
                <w:suppressAutoHyphens/>
                <w:spacing w:line="276" w:lineRule="auto"/>
                <w:ind w:firstLine="567"/>
                <w:jc w:val="both"/>
                <w:rPr>
                  <w:color w:val="000000"/>
                  <w:szCs w:val="24"/>
                  <w:lang w:eastAsia="lt-LT"/>
                </w:rPr>
              </w:pPr>
              <w:sdt>
                <w:sdtPr>
                  <w:alias w:val="Numeris"/>
                  <w:tag w:val="nr_7f5ae56ee36c4f818219e229980bf57b"/>
                  <w:id w:val="552658680"/>
                  <w:lock w:val="sdtLocked"/>
                </w:sdtPr>
                <w:sdtEndPr/>
                <w:sdtContent>
                  <w:r>
                    <w:rPr>
                      <w:rFonts w:eastAsia="Calibri"/>
                      <w:color w:val="000000"/>
                      <w:szCs w:val="24"/>
                      <w:lang w:eastAsia="lt-LT"/>
                    </w:rPr>
                    <w:t>2</w:t>
                  </w:r>
                </w:sdtContent>
              </w:sdt>
              <w:r>
                <w:rPr>
                  <w:rFonts w:eastAsia="Calibri"/>
                  <w:color w:val="000000"/>
                  <w:szCs w:val="24"/>
                  <w:lang w:eastAsia="lt-LT"/>
                </w:rPr>
                <w:t xml:space="preserve">. </w:t>
              </w:r>
              <w:r>
                <w:rPr>
                  <w:color w:val="000000"/>
                  <w:szCs w:val="24"/>
                  <w:lang w:eastAsia="lt-LT"/>
                </w:rPr>
                <w:t>Pakeičiu priedo 5 punktą ir jį išdėstau taip:</w:t>
              </w:r>
            </w:p>
            <w:tbl>
              <w:tblPr>
                <w:tblW w:w="9639" w:type="dxa"/>
                <w:tblInd w:w="1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6"/>
                <w:gridCol w:w="1108"/>
                <w:gridCol w:w="851"/>
                <w:gridCol w:w="709"/>
                <w:gridCol w:w="1134"/>
                <w:gridCol w:w="708"/>
                <w:gridCol w:w="4563"/>
              </w:tblGrid>
              <w:tr w:rsidR="00CA61C9">
                <w:tc>
                  <w:tcPr>
                    <w:tcW w:w="566" w:type="dxa"/>
                    <w:tcBorders>
                      <w:top w:val="single" w:sz="8" w:space="0" w:color="auto"/>
                      <w:left w:val="single" w:sz="8" w:space="0" w:color="auto"/>
                      <w:bottom w:val="single" w:sz="8" w:space="0" w:color="auto"/>
                      <w:right w:val="single" w:sz="8" w:space="0" w:color="auto"/>
                    </w:tcBorders>
                    <w:tcMar>
                      <w:top w:w="17" w:type="dxa"/>
                      <w:left w:w="17" w:type="dxa"/>
                      <w:bottom w:w="17" w:type="dxa"/>
                      <w:right w:w="17" w:type="dxa"/>
                    </w:tcMar>
                    <w:hideMark/>
                  </w:tcPr>
                  <w:p w:rsidR="00CA61C9" w:rsidRDefault="00B30B75">
                    <w:pPr>
                      <w:suppressAutoHyphens/>
                      <w:spacing w:line="276" w:lineRule="auto"/>
                      <w:jc w:val="both"/>
                      <w:rPr>
                        <w:szCs w:val="24"/>
                        <w:lang w:eastAsia="lt-LT"/>
                      </w:rPr>
                    </w:pPr>
                    <w:r>
                      <w:rPr>
                        <w:color w:val="000000"/>
                        <w:lang w:eastAsia="lt-LT"/>
                      </w:rPr>
                      <w:t>„5.</w:t>
                    </w:r>
                  </w:p>
                </w:tc>
                <w:tc>
                  <w:tcPr>
                    <w:tcW w:w="1108" w:type="dxa"/>
                    <w:tcBorders>
                      <w:top w:val="single" w:sz="8" w:space="0" w:color="auto"/>
                      <w:left w:val="nil"/>
                      <w:bottom w:val="single" w:sz="8" w:space="0" w:color="auto"/>
                      <w:right w:val="single" w:sz="8" w:space="0" w:color="auto"/>
                    </w:tcBorders>
                    <w:tcMar>
                      <w:top w:w="17" w:type="dxa"/>
                      <w:left w:w="17" w:type="dxa"/>
                      <w:bottom w:w="17" w:type="dxa"/>
                      <w:right w:w="17" w:type="dxa"/>
                    </w:tcMar>
                    <w:hideMark/>
                  </w:tcPr>
                  <w:p w:rsidR="00CA61C9" w:rsidRDefault="00B30B75">
                    <w:pPr>
                      <w:suppressAutoHyphens/>
                      <w:snapToGrid w:val="0"/>
                      <w:spacing w:line="276" w:lineRule="auto"/>
                      <w:rPr>
                        <w:szCs w:val="24"/>
                        <w:lang w:eastAsia="lt-LT"/>
                      </w:rPr>
                    </w:pPr>
                    <w:r>
                      <w:rPr>
                        <w:szCs w:val="24"/>
                        <w:lang w:eastAsia="lt-LT"/>
                      </w:rPr>
                      <w:t>Šilutės r.</w:t>
                    </w:r>
                  </w:p>
                  <w:p w:rsidR="00CA61C9" w:rsidRDefault="00CA61C9">
                    <w:pPr>
                      <w:suppressAutoHyphens/>
                      <w:spacing w:line="276" w:lineRule="auto"/>
                      <w:jc w:val="both"/>
                      <w:rPr>
                        <w:szCs w:val="24"/>
                        <w:lang w:eastAsia="lt-LT"/>
                      </w:rPr>
                    </w:pPr>
                  </w:p>
                </w:tc>
                <w:tc>
                  <w:tcPr>
                    <w:tcW w:w="851" w:type="dxa"/>
                    <w:tcBorders>
                      <w:top w:val="single" w:sz="8" w:space="0" w:color="auto"/>
                      <w:left w:val="nil"/>
                      <w:bottom w:val="single" w:sz="8" w:space="0" w:color="auto"/>
                      <w:right w:val="single" w:sz="8" w:space="0" w:color="auto"/>
                    </w:tcBorders>
                    <w:tcMar>
                      <w:top w:w="17" w:type="dxa"/>
                      <w:left w:w="17" w:type="dxa"/>
                      <w:bottom w:w="17" w:type="dxa"/>
                      <w:right w:w="17" w:type="dxa"/>
                    </w:tcMar>
                  </w:tcPr>
                  <w:p w:rsidR="00CA61C9" w:rsidRDefault="00B30B75">
                    <w:pPr>
                      <w:tabs>
                        <w:tab w:val="left" w:pos="144"/>
                      </w:tabs>
                      <w:suppressAutoHyphens/>
                      <w:spacing w:line="276" w:lineRule="auto"/>
                      <w:ind w:left="-15"/>
                      <w:jc w:val="both"/>
                      <w:rPr>
                        <w:b/>
                        <w:szCs w:val="24"/>
                        <w:highlight w:val="yellow"/>
                        <w:lang w:eastAsia="lt-LT"/>
                      </w:rPr>
                    </w:pPr>
                    <w:r>
                      <w:rPr>
                        <w:szCs w:val="24"/>
                        <w:lang w:eastAsia="lt-LT"/>
                      </w:rPr>
                      <w:t>Krokų Lankos ežeras</w:t>
                    </w:r>
                  </w:p>
                </w:tc>
                <w:tc>
                  <w:tcPr>
                    <w:tcW w:w="709" w:type="dxa"/>
                    <w:tcBorders>
                      <w:top w:val="single" w:sz="8" w:space="0" w:color="auto"/>
                      <w:left w:val="nil"/>
                      <w:bottom w:val="single" w:sz="8" w:space="0" w:color="auto"/>
                      <w:right w:val="single" w:sz="8" w:space="0" w:color="auto"/>
                    </w:tcBorders>
                    <w:tcMar>
                      <w:top w:w="17" w:type="dxa"/>
                      <w:left w:w="17" w:type="dxa"/>
                      <w:bottom w:w="17" w:type="dxa"/>
                      <w:right w:w="17" w:type="dxa"/>
                    </w:tcMar>
                  </w:tcPr>
                  <w:p w:rsidR="00CA61C9" w:rsidRDefault="00B30B75">
                    <w:pPr>
                      <w:suppressAutoHyphens/>
                      <w:spacing w:line="276" w:lineRule="auto"/>
                      <w:jc w:val="both"/>
                      <w:rPr>
                        <w:bCs/>
                        <w:szCs w:val="24"/>
                        <w:lang w:eastAsia="lt-LT"/>
                      </w:rPr>
                    </w:pPr>
                    <w:r>
                      <w:rPr>
                        <w:bCs/>
                        <w:szCs w:val="24"/>
                        <w:lang w:eastAsia="lt-LT"/>
                      </w:rPr>
                      <w:t>878,8</w:t>
                    </w:r>
                  </w:p>
                </w:tc>
                <w:tc>
                  <w:tcPr>
                    <w:tcW w:w="1134" w:type="dxa"/>
                    <w:tcBorders>
                      <w:top w:val="single" w:sz="8" w:space="0" w:color="auto"/>
                      <w:left w:val="nil"/>
                      <w:bottom w:val="single" w:sz="8" w:space="0" w:color="auto"/>
                      <w:right w:val="single" w:sz="8" w:space="0" w:color="auto"/>
                    </w:tcBorders>
                    <w:tcMar>
                      <w:top w:w="17" w:type="dxa"/>
                      <w:left w:w="17" w:type="dxa"/>
                      <w:bottom w:w="17" w:type="dxa"/>
                      <w:right w:w="17" w:type="dxa"/>
                    </w:tcMar>
                  </w:tcPr>
                  <w:p w:rsidR="00CA61C9" w:rsidRDefault="00B30B75">
                    <w:pPr>
                      <w:suppressAutoHyphens/>
                      <w:spacing w:line="276" w:lineRule="auto"/>
                      <w:jc w:val="both"/>
                      <w:rPr>
                        <w:bCs/>
                        <w:szCs w:val="24"/>
                        <w:lang w:eastAsia="lt-LT"/>
                      </w:rPr>
                    </w:pPr>
                    <w:r>
                      <w:rPr>
                        <w:bCs/>
                        <w:szCs w:val="24"/>
                        <w:lang w:eastAsia="lt-LT"/>
                      </w:rPr>
                      <w:t>10031790</w:t>
                    </w:r>
                  </w:p>
                </w:tc>
                <w:tc>
                  <w:tcPr>
                    <w:tcW w:w="708" w:type="dxa"/>
                    <w:tcBorders>
                      <w:top w:val="single" w:sz="8" w:space="0" w:color="auto"/>
                      <w:left w:val="nil"/>
                      <w:bottom w:val="single" w:sz="8" w:space="0" w:color="auto"/>
                      <w:right w:val="single" w:sz="8" w:space="0" w:color="auto"/>
                    </w:tcBorders>
                    <w:tcMar>
                      <w:top w:w="17" w:type="dxa"/>
                      <w:left w:w="17" w:type="dxa"/>
                      <w:bottom w:w="17" w:type="dxa"/>
                      <w:right w:w="17" w:type="dxa"/>
                    </w:tcMar>
                  </w:tcPr>
                  <w:p w:rsidR="00CA61C9" w:rsidRDefault="00B30B75">
                    <w:pPr>
                      <w:suppressAutoHyphens/>
                      <w:spacing w:line="276" w:lineRule="auto"/>
                      <w:jc w:val="center"/>
                      <w:rPr>
                        <w:bCs/>
                        <w:szCs w:val="24"/>
                        <w:lang w:eastAsia="lt-LT"/>
                      </w:rPr>
                    </w:pPr>
                    <w:r>
                      <w:rPr>
                        <w:bCs/>
                        <w:szCs w:val="24"/>
                        <w:lang w:eastAsia="lt-LT"/>
                      </w:rPr>
                      <w:t>22-2</w:t>
                    </w:r>
                  </w:p>
                </w:tc>
                <w:tc>
                  <w:tcPr>
                    <w:tcW w:w="4563" w:type="dxa"/>
                    <w:tcBorders>
                      <w:top w:val="single" w:sz="8" w:space="0" w:color="auto"/>
                      <w:left w:val="nil"/>
                      <w:bottom w:val="single" w:sz="8" w:space="0" w:color="auto"/>
                      <w:right w:val="single" w:sz="8" w:space="0" w:color="auto"/>
                    </w:tcBorders>
                    <w:tcMar>
                      <w:top w:w="17" w:type="dxa"/>
                      <w:left w:w="17" w:type="dxa"/>
                      <w:bottom w:w="17" w:type="dxa"/>
                      <w:right w:w="17" w:type="dxa"/>
                    </w:tcMar>
                  </w:tcPr>
                  <w:p w:rsidR="00CA61C9" w:rsidRDefault="00B30B75">
                    <w:pPr>
                      <w:suppressAutoHyphens/>
                      <w:snapToGrid w:val="0"/>
                      <w:spacing w:line="276" w:lineRule="auto"/>
                      <w:jc w:val="both"/>
                      <w:rPr>
                        <w:szCs w:val="24"/>
                        <w:lang w:eastAsia="lt-LT"/>
                      </w:rPr>
                    </w:pPr>
                    <w:r>
                      <w:rPr>
                        <w:szCs w:val="24"/>
                        <w:lang w:eastAsia="lt-LT"/>
                      </w:rPr>
                      <w:t xml:space="preserve">Savaeigėmis plaukiojimo priemonėmis leidžiama plaukioti mažiausiuoju plaukiojimo priemonės greičiu visą plaukiojimo </w:t>
                    </w:r>
                    <w:r>
                      <w:rPr>
                        <w:szCs w:val="24"/>
                        <w:lang w:eastAsia="lt-LT"/>
                      </w:rPr>
                      <w:t>sezoną pažintinio vandens turizmo trasa Atmata–Duobelė–Krokų Lanka–</w:t>
                    </w:r>
                    <w:proofErr w:type="spellStart"/>
                    <w:r>
                      <w:rPr>
                        <w:szCs w:val="24"/>
                        <w:lang w:eastAsia="lt-LT"/>
                      </w:rPr>
                      <w:t>Tulkiaragės</w:t>
                    </w:r>
                    <w:proofErr w:type="spellEnd"/>
                    <w:r>
                      <w:rPr>
                        <w:szCs w:val="24"/>
                        <w:lang w:eastAsia="lt-LT"/>
                      </w:rPr>
                      <w:t xml:space="preserve"> siurblinė–Krokų Lanka–Duobelė–Atmata.</w:t>
                    </w:r>
                  </w:p>
                  <w:p w:rsidR="00CA61C9" w:rsidRDefault="00B30B75">
                    <w:pPr>
                      <w:suppressAutoHyphens/>
                      <w:snapToGrid w:val="0"/>
                      <w:spacing w:line="276" w:lineRule="auto"/>
                      <w:jc w:val="both"/>
                      <w:rPr>
                        <w:b/>
                        <w:bCs/>
                        <w:szCs w:val="24"/>
                        <w:lang w:eastAsia="lt-LT"/>
                      </w:rPr>
                    </w:pPr>
                    <w:r>
                      <w:rPr>
                        <w:szCs w:val="24"/>
                        <w:lang w:eastAsia="lt-LT"/>
                      </w:rPr>
                      <w:t xml:space="preserve">Kasmet, ne anksčiau kaip rugpjūčio 1 d., Krokų Lankoje pažintinio vandens turizmo trasa nužymėtu maršrutu gali būti organizuojamos burinių </w:t>
                    </w:r>
                    <w:r>
                      <w:rPr>
                        <w:szCs w:val="24"/>
                        <w:lang w:eastAsia="lt-LT"/>
                      </w:rPr>
                      <w:t>plaukiojimo priemonių regatos, jų organizatoriai su Mažosios Lietuvos saugomų teritorijų direkcija turi suderinti plaukiojimo datą, laiką, plaukiojimo priemonių skaičių ir jų technines charakteristikas</w:t>
                    </w:r>
                    <w:r>
                      <w:rPr>
                        <w:color w:val="000000"/>
                        <w:szCs w:val="24"/>
                        <w:lang w:eastAsia="lt-LT"/>
                      </w:rPr>
                      <w:t>.</w:t>
                    </w:r>
                    <w:r>
                      <w:rPr>
                        <w:color w:val="000000"/>
                        <w:lang w:eastAsia="lt-LT"/>
                      </w:rPr>
                      <w:t>“</w:t>
                    </w:r>
                  </w:p>
                </w:tc>
              </w:tr>
            </w:tbl>
            <w:p w:rsidR="00CA61C9" w:rsidRDefault="00B30B75">
              <w:pPr>
                <w:suppressAutoHyphens/>
                <w:spacing w:line="276" w:lineRule="auto"/>
                <w:ind w:firstLine="709"/>
                <w:jc w:val="both"/>
                <w:textAlignment w:val="center"/>
                <w:rPr>
                  <w:color w:val="000000"/>
                  <w:szCs w:val="24"/>
                  <w:lang w:eastAsia="lt-LT"/>
                </w:rPr>
              </w:pPr>
            </w:p>
          </w:sdtContent>
        </w:sdt>
        <w:sdt>
          <w:sdtPr>
            <w:alias w:val="3 p."/>
            <w:tag w:val="part_19ef8e588a42418b8967b1189b784231"/>
            <w:id w:val="25304775"/>
            <w:lock w:val="sdtLocked"/>
          </w:sdtPr>
          <w:sdtEndPr/>
          <w:sdtContent>
            <w:p w:rsidR="00CA61C9" w:rsidRDefault="00B30B75">
              <w:pPr>
                <w:suppressAutoHyphens/>
                <w:spacing w:line="276" w:lineRule="auto"/>
                <w:ind w:firstLine="709"/>
                <w:jc w:val="both"/>
                <w:textAlignment w:val="center"/>
                <w:rPr>
                  <w:color w:val="000000"/>
                  <w:szCs w:val="24"/>
                  <w:lang w:eastAsia="lt-LT"/>
                </w:rPr>
              </w:pPr>
              <w:sdt>
                <w:sdtPr>
                  <w:alias w:val="Numeris"/>
                  <w:tag w:val="nr_19ef8e588a42418b8967b1189b784231"/>
                  <w:id w:val="1288087523"/>
                  <w:lock w:val="sdtLocked"/>
                </w:sdtPr>
                <w:sdtEndPr/>
                <w:sdtContent>
                  <w:r>
                    <w:rPr>
                      <w:color w:val="000000"/>
                      <w:szCs w:val="24"/>
                      <w:lang w:eastAsia="lt-LT"/>
                    </w:rPr>
                    <w:t>3</w:t>
                  </w:r>
                </w:sdtContent>
              </w:sdt>
              <w:r>
                <w:rPr>
                  <w:color w:val="000000"/>
                  <w:szCs w:val="24"/>
                  <w:lang w:eastAsia="lt-LT"/>
                </w:rPr>
                <w:t xml:space="preserve">. Pakeičiu priedo 11 punktą ir jį išdėstau </w:t>
              </w:r>
              <w:r>
                <w:rPr>
                  <w:color w:val="000000"/>
                  <w:szCs w:val="24"/>
                  <w:lang w:eastAsia="lt-LT"/>
                </w:rPr>
                <w:t>taip:</w:t>
              </w:r>
            </w:p>
            <w:tbl>
              <w:tblPr>
                <w:tblW w:w="9617"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112"/>
                <w:gridCol w:w="993"/>
                <w:gridCol w:w="708"/>
                <w:gridCol w:w="1134"/>
                <w:gridCol w:w="567"/>
                <w:gridCol w:w="4536"/>
              </w:tblGrid>
              <w:tr w:rsidR="00CA61C9">
                <w:trPr>
                  <w:trHeight w:val="822"/>
                </w:trPr>
                <w:tc>
                  <w:tcPr>
                    <w:tcW w:w="567" w:type="dxa"/>
                    <w:tcBorders>
                      <w:top w:val="single" w:sz="4" w:space="0" w:color="auto"/>
                      <w:left w:val="single" w:sz="4" w:space="0" w:color="auto"/>
                      <w:bottom w:val="single" w:sz="4" w:space="0" w:color="auto"/>
                      <w:right w:val="single" w:sz="4" w:space="0" w:color="auto"/>
                    </w:tcBorders>
                  </w:tcPr>
                  <w:p w:rsidR="00CA61C9" w:rsidRDefault="00B30B75">
                    <w:pPr>
                      <w:suppressAutoHyphens/>
                      <w:snapToGrid w:val="0"/>
                      <w:spacing w:line="276" w:lineRule="auto"/>
                      <w:jc w:val="both"/>
                      <w:rPr>
                        <w:b/>
                        <w:sz w:val="23"/>
                        <w:szCs w:val="23"/>
                        <w:lang w:eastAsia="lt-LT"/>
                      </w:rPr>
                    </w:pPr>
                    <w:r>
                      <w:rPr>
                        <w:color w:val="000000"/>
                        <w:szCs w:val="24"/>
                        <w:lang w:eastAsia="lt-LT"/>
                      </w:rPr>
                      <w:t>„11.</w:t>
                    </w:r>
                  </w:p>
                </w:tc>
                <w:tc>
                  <w:tcPr>
                    <w:tcW w:w="1112" w:type="dxa"/>
                    <w:tcBorders>
                      <w:top w:val="single" w:sz="4" w:space="0" w:color="auto"/>
                      <w:left w:val="single" w:sz="4" w:space="0" w:color="auto"/>
                      <w:bottom w:val="single" w:sz="4" w:space="0" w:color="auto"/>
                      <w:right w:val="single" w:sz="4" w:space="0" w:color="auto"/>
                    </w:tcBorders>
                  </w:tcPr>
                  <w:p w:rsidR="00CA61C9" w:rsidRDefault="00B30B75">
                    <w:pPr>
                      <w:suppressAutoHyphens/>
                      <w:snapToGrid w:val="0"/>
                      <w:spacing w:line="276" w:lineRule="auto"/>
                      <w:rPr>
                        <w:b/>
                        <w:color w:val="000000"/>
                        <w:sz w:val="23"/>
                        <w:szCs w:val="23"/>
                        <w:lang w:eastAsia="lt-LT"/>
                      </w:rPr>
                    </w:pPr>
                    <w:r>
                      <w:rPr>
                        <w:szCs w:val="24"/>
                        <w:lang w:eastAsia="lt-LT"/>
                      </w:rPr>
                      <w:t>Elektrėnų</w:t>
                    </w:r>
                  </w:p>
                </w:tc>
                <w:tc>
                  <w:tcPr>
                    <w:tcW w:w="993" w:type="dxa"/>
                    <w:tcBorders>
                      <w:top w:val="single" w:sz="4" w:space="0" w:color="auto"/>
                      <w:left w:val="single" w:sz="4" w:space="0" w:color="auto"/>
                      <w:bottom w:val="single" w:sz="4" w:space="0" w:color="auto"/>
                      <w:right w:val="single" w:sz="4" w:space="0" w:color="auto"/>
                    </w:tcBorders>
                  </w:tcPr>
                  <w:p w:rsidR="00CA61C9" w:rsidRDefault="00B30B75">
                    <w:pPr>
                      <w:suppressAutoHyphens/>
                      <w:snapToGrid w:val="0"/>
                      <w:spacing w:line="276" w:lineRule="auto"/>
                      <w:rPr>
                        <w:b/>
                        <w:color w:val="000000"/>
                        <w:sz w:val="23"/>
                        <w:szCs w:val="23"/>
                        <w:lang w:eastAsia="lt-LT"/>
                      </w:rPr>
                    </w:pPr>
                    <w:r>
                      <w:rPr>
                        <w:szCs w:val="24"/>
                        <w:lang w:eastAsia="lt-LT"/>
                      </w:rPr>
                      <w:t>Elektrėnų tvenkinys</w:t>
                    </w:r>
                  </w:p>
                </w:tc>
                <w:tc>
                  <w:tcPr>
                    <w:tcW w:w="708" w:type="dxa"/>
                    <w:tcBorders>
                      <w:top w:val="single" w:sz="4" w:space="0" w:color="auto"/>
                      <w:left w:val="single" w:sz="4" w:space="0" w:color="auto"/>
                      <w:bottom w:val="single" w:sz="4" w:space="0" w:color="auto"/>
                      <w:right w:val="single" w:sz="4" w:space="0" w:color="auto"/>
                    </w:tcBorders>
                  </w:tcPr>
                  <w:p w:rsidR="00CA61C9" w:rsidRDefault="00B30B75">
                    <w:pPr>
                      <w:suppressAutoHyphens/>
                      <w:snapToGrid w:val="0"/>
                      <w:spacing w:line="276" w:lineRule="auto"/>
                      <w:rPr>
                        <w:b/>
                        <w:color w:val="000000"/>
                        <w:sz w:val="23"/>
                        <w:szCs w:val="23"/>
                        <w:lang w:eastAsia="lt-LT"/>
                      </w:rPr>
                    </w:pPr>
                    <w:r>
                      <w:rPr>
                        <w:szCs w:val="24"/>
                        <w:lang w:eastAsia="lt-LT"/>
                      </w:rPr>
                      <w:t>1384,7</w:t>
                    </w:r>
                  </w:p>
                </w:tc>
                <w:tc>
                  <w:tcPr>
                    <w:tcW w:w="1134" w:type="dxa"/>
                    <w:tcBorders>
                      <w:top w:val="single" w:sz="4" w:space="0" w:color="auto"/>
                      <w:left w:val="single" w:sz="4" w:space="0" w:color="auto"/>
                      <w:bottom w:val="single" w:sz="4" w:space="0" w:color="auto"/>
                      <w:right w:val="single" w:sz="4" w:space="0" w:color="auto"/>
                    </w:tcBorders>
                  </w:tcPr>
                  <w:p w:rsidR="00CA61C9" w:rsidRDefault="00B30B75">
                    <w:pPr>
                      <w:suppressAutoHyphens/>
                      <w:snapToGrid w:val="0"/>
                      <w:spacing w:line="276" w:lineRule="auto"/>
                      <w:rPr>
                        <w:b/>
                        <w:color w:val="000000"/>
                        <w:sz w:val="23"/>
                        <w:szCs w:val="23"/>
                        <w:lang w:eastAsia="lt-LT"/>
                      </w:rPr>
                    </w:pPr>
                    <w:r>
                      <w:rPr>
                        <w:szCs w:val="24"/>
                        <w:lang w:eastAsia="lt-LT"/>
                      </w:rPr>
                      <w:t>10050291</w:t>
                    </w:r>
                  </w:p>
                </w:tc>
                <w:tc>
                  <w:tcPr>
                    <w:tcW w:w="567" w:type="dxa"/>
                    <w:tcBorders>
                      <w:top w:val="single" w:sz="4" w:space="0" w:color="auto"/>
                      <w:left w:val="single" w:sz="4" w:space="0" w:color="auto"/>
                      <w:bottom w:val="single" w:sz="4" w:space="0" w:color="auto"/>
                      <w:right w:val="single" w:sz="4" w:space="0" w:color="auto"/>
                    </w:tcBorders>
                  </w:tcPr>
                  <w:p w:rsidR="00CA61C9" w:rsidRDefault="00B30B75">
                    <w:pPr>
                      <w:suppressAutoHyphens/>
                      <w:snapToGrid w:val="0"/>
                      <w:spacing w:line="276" w:lineRule="auto"/>
                      <w:jc w:val="center"/>
                      <w:rPr>
                        <w:b/>
                        <w:color w:val="000000"/>
                        <w:sz w:val="23"/>
                        <w:szCs w:val="23"/>
                        <w:lang w:eastAsia="lt-LT"/>
                      </w:rPr>
                    </w:pPr>
                    <w:r>
                      <w:rPr>
                        <w:color w:val="000000"/>
                        <w:szCs w:val="24"/>
                        <w:lang w:eastAsia="lt-LT"/>
                      </w:rPr>
                      <w:t>–</w:t>
                    </w:r>
                  </w:p>
                </w:tc>
                <w:tc>
                  <w:tcPr>
                    <w:tcW w:w="4536" w:type="dxa"/>
                    <w:tcBorders>
                      <w:top w:val="single" w:sz="4" w:space="0" w:color="auto"/>
                      <w:left w:val="single" w:sz="4" w:space="0" w:color="auto"/>
                      <w:bottom w:val="single" w:sz="4" w:space="0" w:color="auto"/>
                      <w:right w:val="single" w:sz="4" w:space="0" w:color="auto"/>
                    </w:tcBorders>
                  </w:tcPr>
                  <w:p w:rsidR="00CA61C9" w:rsidRDefault="00B30B75">
                    <w:pPr>
                      <w:suppressAutoHyphens/>
                      <w:spacing w:line="276" w:lineRule="auto"/>
                      <w:jc w:val="both"/>
                      <w:rPr>
                        <w:strike/>
                        <w:szCs w:val="24"/>
                        <w:lang w:eastAsia="lt-LT"/>
                      </w:rPr>
                    </w:pPr>
                    <w:r>
                      <w:rPr>
                        <w:szCs w:val="24"/>
                        <w:lang w:eastAsia="lt-LT"/>
                      </w:rPr>
                      <w:t>Sporto šakų federacijų organizuojamų ir vykdomų ar koordinuojamų sporto pratybų ir (ar) sporto renginių metu leidžiama plaukioti savaeigėmis plaukiojimo priemonėmis neribojant bendro variklių galin</w:t>
                    </w:r>
                    <w:r>
                      <w:rPr>
                        <w:szCs w:val="24"/>
                        <w:lang w:eastAsia="lt-LT"/>
                      </w:rPr>
                      <w:t xml:space="preserve">gumo visą plaukiojimo sezoną. Sporto šakos federacija, planuodama vykdyti sporto pratybas ir (ar) sporto renginius, privalo gauti Elektrėnų savivaldybės pritarimą dėl sporto pratybų ir (ar) sporto renginio organizavimo ir vykdymo, suderinti sporto pratybų </w:t>
                    </w:r>
                    <w:r>
                      <w:rPr>
                        <w:szCs w:val="24"/>
                        <w:lang w:eastAsia="lt-LT"/>
                      </w:rPr>
                      <w:t>ar sporto renginio vietą (akvatoriją, teritorijų planavimo dokumentuose nustatytą trasą ar pan.), sporto pratybų trukmę, sporto renginio datą ir laiką, savaeigių plaukiojimo priemonių skaičių, jų technines charakteristikas, taip pat apie sporto renginio vi</w:t>
                    </w:r>
                    <w:r>
                      <w:rPr>
                        <w:szCs w:val="24"/>
                        <w:lang w:eastAsia="lt-LT"/>
                      </w:rPr>
                      <w:t>etą, datą ir laiką raštu informuoti AAD.</w:t>
                    </w:r>
                  </w:p>
                  <w:p w:rsidR="00CA61C9" w:rsidRDefault="00B30B75">
                    <w:pPr>
                      <w:suppressAutoHyphens/>
                      <w:spacing w:line="276" w:lineRule="auto"/>
                      <w:jc w:val="both"/>
                      <w:rPr>
                        <w:szCs w:val="24"/>
                        <w:lang w:eastAsia="lt-LT"/>
                      </w:rPr>
                    </w:pPr>
                    <w:r>
                      <w:rPr>
                        <w:szCs w:val="24"/>
                        <w:lang w:eastAsia="lt-LT"/>
                      </w:rPr>
                      <w:t>Nuo plaukiojimo sezono pradžios iki birželio 20 d. (įskaitytinai) savaeigėmis plaukiojimo priemonėmis, kurių variklių galingumas neviršija 150 AG (110 kW), leidžiama plaukioti mažiausiuoju savaeigės plaukiojimo prie</w:t>
                    </w:r>
                    <w:r>
                      <w:rPr>
                        <w:szCs w:val="24"/>
                        <w:lang w:eastAsia="lt-LT"/>
                      </w:rPr>
                      <w:t>monės greičiu.</w:t>
                    </w:r>
                  </w:p>
                  <w:p w:rsidR="00CA61C9" w:rsidRDefault="00B30B75">
                    <w:pPr>
                      <w:suppressAutoHyphens/>
                      <w:spacing w:line="276" w:lineRule="auto"/>
                      <w:jc w:val="both"/>
                      <w:rPr>
                        <w:b/>
                        <w:color w:val="000000"/>
                        <w:sz w:val="23"/>
                        <w:szCs w:val="23"/>
                        <w:lang w:eastAsia="lt-LT"/>
                      </w:rPr>
                    </w:pPr>
                    <w:r>
                      <w:rPr>
                        <w:szCs w:val="24"/>
                        <w:lang w:eastAsia="lt-LT"/>
                      </w:rPr>
                      <w:t xml:space="preserve">Nuo birželio 21 d. iki plaukiojimo sezono pabaigos leidžiama plaukioti savaeigėmis plaukiojimo priemonėmis, kurių bendras variklių galingumas yra 301 AG (221 kW)–680 AG (500 kW), ir asmeniniais, pramoginiais ir sportiniais laivais, varomais </w:t>
                    </w:r>
                    <w:r>
                      <w:rPr>
                        <w:szCs w:val="24"/>
                        <w:lang w:eastAsia="lt-LT"/>
                      </w:rPr>
                      <w:t>vidaus degimo varikliais, turinčiais vandens srauto pompą.“</w:t>
                    </w:r>
                  </w:p>
                </w:tc>
              </w:tr>
            </w:tbl>
            <w:p w:rsidR="00CA61C9" w:rsidRDefault="00B30B75">
              <w:pPr>
                <w:suppressAutoHyphens/>
                <w:spacing w:line="276" w:lineRule="auto"/>
                <w:ind w:firstLine="709"/>
                <w:jc w:val="both"/>
                <w:textAlignment w:val="center"/>
                <w:rPr>
                  <w:color w:val="000000"/>
                  <w:szCs w:val="24"/>
                  <w:lang w:eastAsia="lt-LT"/>
                </w:rPr>
              </w:pPr>
            </w:p>
          </w:sdtContent>
        </w:sdt>
        <w:sdt>
          <w:sdtPr>
            <w:alias w:val="4 p."/>
            <w:tag w:val="part_ea35c8049b05492a829b22bd9912362a"/>
            <w:id w:val="-1532483694"/>
            <w:lock w:val="sdtLocked"/>
          </w:sdtPr>
          <w:sdtEndPr/>
          <w:sdtContent>
            <w:p w:rsidR="00CA61C9" w:rsidRDefault="00B30B75" w:rsidP="00B30B75">
              <w:pPr>
                <w:suppressAutoHyphens/>
                <w:spacing w:line="276" w:lineRule="auto"/>
                <w:ind w:firstLine="709"/>
                <w:jc w:val="both"/>
                <w:textAlignment w:val="center"/>
                <w:rPr>
                  <w:color w:val="000000"/>
                  <w:szCs w:val="24"/>
                  <w:lang w:eastAsia="lt-LT"/>
                </w:rPr>
              </w:pPr>
              <w:sdt>
                <w:sdtPr>
                  <w:alias w:val="Numeris"/>
                  <w:tag w:val="nr_ea35c8049b05492a829b22bd9912362a"/>
                  <w:id w:val="-172412248"/>
                  <w:lock w:val="sdtLocked"/>
                </w:sdtPr>
                <w:sdtEndPr/>
                <w:sdtContent>
                  <w:r>
                    <w:rPr>
                      <w:color w:val="000000"/>
                      <w:szCs w:val="24"/>
                      <w:lang w:eastAsia="lt-LT"/>
                    </w:rPr>
                    <w:t>4</w:t>
                  </w:r>
                </w:sdtContent>
              </w:sdt>
              <w:r>
                <w:rPr>
                  <w:color w:val="000000"/>
                  <w:szCs w:val="24"/>
                  <w:lang w:eastAsia="lt-LT"/>
                </w:rPr>
                <w:t>. Pripažįstu netekusiu galios priedo 12 punktą.</w:t>
              </w:r>
            </w:p>
          </w:sdtContent>
        </w:sdt>
        <w:sdt>
          <w:sdtPr>
            <w:alias w:val="signatura"/>
            <w:tag w:val="part_19d1bba0875247219f1888553c721fb9"/>
            <w:id w:val="1497531866"/>
            <w:lock w:val="sdtLocked"/>
          </w:sdtPr>
          <w:sdtEndPr/>
          <w:sdtContent>
            <w:bookmarkStart w:id="0" w:name="_GoBack" w:displacedByCustomXml="prev"/>
            <w:p w:rsidR="00B30B75" w:rsidRDefault="00B30B75">
              <w:pPr>
                <w:tabs>
                  <w:tab w:val="left" w:pos="7797"/>
                </w:tabs>
                <w:suppressAutoHyphens/>
              </w:pPr>
            </w:p>
            <w:p w:rsidR="00B30B75" w:rsidRDefault="00B30B75">
              <w:pPr>
                <w:tabs>
                  <w:tab w:val="left" w:pos="7797"/>
                </w:tabs>
                <w:suppressAutoHyphens/>
              </w:pPr>
            </w:p>
            <w:p w:rsidR="00B30B75" w:rsidRDefault="00B30B75">
              <w:pPr>
                <w:tabs>
                  <w:tab w:val="left" w:pos="7797"/>
                </w:tabs>
                <w:suppressAutoHyphens/>
              </w:pPr>
            </w:p>
            <w:p w:rsidR="00CA61C9" w:rsidRDefault="00B30B75">
              <w:pPr>
                <w:tabs>
                  <w:tab w:val="left" w:pos="7797"/>
                </w:tabs>
                <w:suppressAutoHyphens/>
                <w:rPr>
                  <w:lang w:eastAsia="lt-LT"/>
                </w:rPr>
              </w:pPr>
              <w:r>
                <w:rPr>
                  <w:lang w:eastAsia="lt-LT"/>
                </w:rPr>
                <w:t>Aplinkos ministras</w:t>
              </w:r>
              <w:r>
                <w:rPr>
                  <w:lang w:eastAsia="lt-LT"/>
                </w:rPr>
                <w:tab/>
                <w:t>Simonas Gentvilas</w:t>
              </w:r>
            </w:p>
            <w:p w:rsidR="00CA61C9" w:rsidRDefault="00B30B75">
              <w:pPr>
                <w:rPr>
                  <w:lang w:eastAsia="lt-LT"/>
                </w:rPr>
              </w:pPr>
            </w:p>
            <w:bookmarkEnd w:id="0" w:displacedByCustomXml="next"/>
          </w:sdtContent>
        </w:sdt>
      </w:sdtContent>
    </w:sdt>
    <w:sectPr w:rsidR="00CA61C9" w:rsidSect="00B30B75">
      <w:headerReference w:type="default" r:id="rId12"/>
      <w:footnotePr>
        <w:pos w:val="beneathText"/>
      </w:footnotePr>
      <w:type w:val="continuous"/>
      <w:pgSz w:w="11905" w:h="16837" w:code="9"/>
      <w:pgMar w:top="1134" w:right="567" w:bottom="1134" w:left="1701" w:header="709" w:footer="567" w:gutter="0"/>
      <w:pgNumType w:start="1"/>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61C9" w:rsidRDefault="00B30B75">
      <w:pPr>
        <w:suppressAutoHyphens/>
        <w:rPr>
          <w:lang w:eastAsia="lt-LT"/>
        </w:rPr>
      </w:pPr>
      <w:r>
        <w:rPr>
          <w:lang w:eastAsia="lt-LT"/>
        </w:rPr>
        <w:separator/>
      </w:r>
    </w:p>
  </w:endnote>
  <w:endnote w:type="continuationSeparator" w:id="0">
    <w:p w:rsidR="00CA61C9" w:rsidRDefault="00B30B75">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61C9" w:rsidRDefault="00B30B75">
      <w:pPr>
        <w:suppressAutoHyphens/>
        <w:rPr>
          <w:lang w:eastAsia="lt-LT"/>
        </w:rPr>
      </w:pPr>
      <w:r>
        <w:rPr>
          <w:lang w:eastAsia="lt-LT"/>
        </w:rPr>
        <w:separator/>
      </w:r>
    </w:p>
  </w:footnote>
  <w:footnote w:type="continuationSeparator" w:id="0">
    <w:p w:rsidR="00CA61C9" w:rsidRDefault="00B30B75">
      <w:pPr>
        <w:suppressAutoHyphens/>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61C9" w:rsidRPr="00B30B75" w:rsidRDefault="00B30B75" w:rsidP="00B30B75">
    <w:pPr>
      <w:tabs>
        <w:tab w:val="center" w:pos="4153"/>
        <w:tab w:val="right" w:pos="9100"/>
      </w:tabs>
      <w:suppressAutoHyphens/>
      <w:jc w:val="center"/>
      <w:rPr>
        <w:spacing w:val="10"/>
        <w:sz w:val="22"/>
        <w:szCs w:val="22"/>
        <w:lang w:eastAsia="lt-LT"/>
      </w:rPr>
    </w:pPr>
    <w:r w:rsidRPr="00B30B75">
      <w:rPr>
        <w:spacing w:val="10"/>
        <w:sz w:val="22"/>
        <w:szCs w:val="22"/>
        <w:lang w:eastAsia="lt-LT"/>
      </w:rPr>
      <w:fldChar w:fldCharType="begin"/>
    </w:r>
    <w:r w:rsidRPr="00B30B75">
      <w:rPr>
        <w:spacing w:val="10"/>
        <w:sz w:val="22"/>
        <w:szCs w:val="22"/>
        <w:lang w:eastAsia="lt-LT"/>
      </w:rPr>
      <w:instrText>PAGE   \* MERGEFORMAT</w:instrText>
    </w:r>
    <w:r w:rsidRPr="00B30B75">
      <w:rPr>
        <w:spacing w:val="10"/>
        <w:sz w:val="22"/>
        <w:szCs w:val="22"/>
        <w:lang w:eastAsia="lt-LT"/>
      </w:rPr>
      <w:fldChar w:fldCharType="separate"/>
    </w:r>
    <w:r>
      <w:rPr>
        <w:noProof/>
        <w:spacing w:val="10"/>
        <w:sz w:val="22"/>
        <w:szCs w:val="22"/>
        <w:lang w:eastAsia="lt-LT"/>
      </w:rPr>
      <w:t>2</w:t>
    </w:r>
    <w:r w:rsidRPr="00B30B75">
      <w:rPr>
        <w:spacing w:val="10"/>
        <w:sz w:val="22"/>
        <w:szCs w:val="22"/>
        <w:lang w:eastAsia="lt-LT"/>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3BE4"/>
    <w:rsid w:val="00763BE4"/>
    <w:rsid w:val="00B30B75"/>
    <w:rsid w:val="00CA61C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4975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nhideWhenUsed/>
    <w:rsid w:val="00B30B75"/>
    <w:pPr>
      <w:tabs>
        <w:tab w:val="center" w:pos="4819"/>
        <w:tab w:val="right" w:pos="9638"/>
      </w:tabs>
    </w:pPr>
  </w:style>
  <w:style w:type="character" w:customStyle="1" w:styleId="AntratsDiagrama">
    <w:name w:val="Antraštės Diagrama"/>
    <w:basedOn w:val="Numatytasispastraiposriftas"/>
    <w:link w:val="Antrats"/>
    <w:rsid w:val="00B30B75"/>
  </w:style>
  <w:style w:type="paragraph" w:styleId="Porat">
    <w:name w:val="footer"/>
    <w:basedOn w:val="prastasis"/>
    <w:link w:val="PoratDiagrama"/>
    <w:unhideWhenUsed/>
    <w:rsid w:val="00B30B75"/>
    <w:pPr>
      <w:tabs>
        <w:tab w:val="center" w:pos="4819"/>
        <w:tab w:val="right" w:pos="9638"/>
      </w:tabs>
    </w:pPr>
  </w:style>
  <w:style w:type="character" w:customStyle="1" w:styleId="PoratDiagrama">
    <w:name w:val="Poraštė Diagrama"/>
    <w:basedOn w:val="Numatytasispastraiposriftas"/>
    <w:link w:val="Porat"/>
    <w:rsid w:val="00B30B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4914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FDA964F1C275C4D86F2E57031B6AE29" ma:contentTypeVersion="14" ma:contentTypeDescription="Kurkite naują dokumentą." ma:contentTypeScope="" ma:versionID="b619d1e0116fb04bbec8ce1b8e5f0942">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865de300c998d8684e2a1567bca03265"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umeris xmlns="58c6f6df-7e1f-4a2e-8979-e3f4c92e56f2"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d13f80fcbec4c0aa3843288870446a8" PartId="4ff1dd27041e40cfa6991c69614ec4bf">
    <Part Type="preambule" DocPartId="6ca70b62f3904a6cac33c46d857886e1" PartId="d31b46db036e4fe2a0e076795702de86"/>
    <Part Type="punktas" Nr="1" Abbr="1 p." DocPartId="107fe71be9cf4ee7b407146aa08d11b2" PartId="244a1cd7a39c48a6ae9ea4d9d1b3b9a3">
      <Part Type="citata" DocPartId="dae9d65c981f41d3b7c799b107d40b02" PartId="b12a9040dba840d7a42019cd8c9354f5">
        <Part Type="papunktis" Nr="2.5" Abbr="2.5 pp." DocPartId="acef5a941eaa498896612fb677aa8275" PartId="6c5711d2f3004bca97dd98fd0d11a867"/>
      </Part>
    </Part>
    <Part Type="punktas" Nr="2" Abbr="2 p." DocPartId="b598a125082b4761b75a57eb341ab5ca" PartId="7f5ae56ee36c4f818219e229980bf57b"/>
    <Part Type="punktas" Nr="3" Abbr="3 p." DocPartId="e1ebd0d6643c43a3969e507d53961378" PartId="19ef8e588a42418b8967b1189b784231"/>
    <Part Type="punktas" Nr="4" Abbr="4 p." DocPartId="88642ade3362483aa4fafe8f3a44e48c" PartId="ea35c8049b05492a829b22bd9912362a"/>
    <Part Type="signatura" DocPartId="7c0651b40dc942c69cfa3f59716716c1" PartId="19d1bba0875247219f1888553c721fb9"/>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C617C7-64FC-40DA-9B4D-E274B5A43B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A71CDB-73C5-4841-972B-AF905D5930EA}">
  <ds:schemaRefs>
    <ds:schemaRef ds:uri="http://schemas.microsoft.com/office/2006/metadata/properties"/>
    <ds:schemaRef ds:uri="http://schemas.microsoft.com/office/infopath/2007/PartnerControls"/>
    <ds:schemaRef ds:uri="58c6f6df-7e1f-4a2e-8979-e3f4c92e56f2"/>
  </ds:schemaRefs>
</ds:datastoreItem>
</file>

<file path=customXml/itemProps3.xml><?xml version="1.0" encoding="utf-8"?>
<ds:datastoreItem xmlns:ds="http://schemas.openxmlformats.org/officeDocument/2006/customXml" ds:itemID="{601FB198-41D3-4EC3-AFD9-2277C8B0E21D}">
  <ds:schemaRefs>
    <ds:schemaRef ds:uri="http://schemas.microsoft.com/sharepoint/v3/contenttype/forms"/>
  </ds:schemaRefs>
</ds:datastoreItem>
</file>

<file path=customXml/itemProps4.xml><?xml version="1.0" encoding="utf-8"?>
<ds:datastoreItem xmlns:ds="http://schemas.openxmlformats.org/officeDocument/2006/customXml" ds:itemID="{12DA6A3A-3783-4919-A3E2-6752A02D13E3}">
  <ds:schemaRefs>
    <ds:schemaRef ds:uri="http://lrs.lt/TAIS/DocParts"/>
  </ds:schemaRefs>
</ds:datastoreItem>
</file>

<file path=customXml/itemProps5.xml><?xml version="1.0" encoding="utf-8"?>
<ds:datastoreItem xmlns:ds="http://schemas.openxmlformats.org/officeDocument/2006/customXml" ds:itemID="{71C96F4D-D34D-4120-BC21-82213ECA50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2320</Words>
  <Characters>1323</Characters>
  <Application>Microsoft Office Word</Application>
  <DocSecurity>0</DocSecurity>
  <Lines>11</Lines>
  <Paragraphs>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3636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2024-04-09T05:47:00Z</dcterms:created>
  <dcterms:modified xsi:type="dcterms:W3CDTF">2024-04-09T06:52:00Z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ies>
</file>