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dd6058c2f1924e3abe53c99be038813e"/>
        <w:id w:val="824934748"/>
        <w:lock w:val="sdtLocked"/>
      </w:sdtPr>
      <w:sdtEndPr/>
      <w:sdtContent>
        <w:p w:rsidR="00E64D99" w:rsidRDefault="002C73D0">
          <w:pPr>
            <w:suppressAutoHyphens/>
            <w:jc w:val="center"/>
            <w:rPr>
              <w:b/>
              <w:bCs/>
              <w:lang w:eastAsia="lt-LT"/>
            </w:rPr>
          </w:pPr>
          <w:r>
            <w:rPr>
              <w:noProof/>
              <w:lang w:eastAsia="lt-LT"/>
            </w:rPr>
            <w:drawing>
              <wp:inline distT="0" distB="0" distL="0" distR="0" wp14:anchorId="3EEE1A93" wp14:editId="4F7E3F9C">
                <wp:extent cx="520700" cy="622300"/>
                <wp:effectExtent l="19050" t="0" r="0" b="0"/>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1"/>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rsidR="00E64D99" w:rsidRDefault="00E64D99">
          <w:pPr>
            <w:rPr>
              <w:sz w:val="10"/>
              <w:szCs w:val="10"/>
            </w:rPr>
          </w:pPr>
        </w:p>
        <w:p w:rsidR="00E64D99" w:rsidRDefault="002C73D0">
          <w:pPr>
            <w:suppressAutoHyphens/>
            <w:jc w:val="center"/>
            <w:rPr>
              <w:b/>
              <w:bCs/>
              <w:lang w:eastAsia="lt-LT"/>
            </w:rPr>
          </w:pPr>
          <w:r>
            <w:rPr>
              <w:b/>
              <w:bCs/>
              <w:lang w:eastAsia="lt-LT"/>
            </w:rPr>
            <w:t>LIETUVOS RESPUBLIKOS APLINKOS MINISTRAS</w:t>
          </w:r>
        </w:p>
        <w:p w:rsidR="00E64D99" w:rsidRDefault="00E64D99">
          <w:pPr>
            <w:rPr>
              <w:sz w:val="6"/>
              <w:szCs w:val="6"/>
            </w:rPr>
          </w:pPr>
        </w:p>
        <w:p w:rsidR="00E64D99" w:rsidRDefault="00E64D99">
          <w:pPr>
            <w:suppressAutoHyphens/>
            <w:jc w:val="center"/>
            <w:rPr>
              <w:b/>
              <w:bCs/>
              <w:lang w:eastAsia="lt-LT"/>
            </w:rPr>
          </w:pPr>
        </w:p>
        <w:p w:rsidR="00E64D99" w:rsidRDefault="00E64D99">
          <w:pPr>
            <w:rPr>
              <w:sz w:val="6"/>
              <w:szCs w:val="6"/>
            </w:rPr>
          </w:pPr>
        </w:p>
        <w:p w:rsidR="00E64D99" w:rsidRDefault="002C73D0">
          <w:pPr>
            <w:jc w:val="center"/>
            <w:textAlignment w:val="baseline"/>
            <w:rPr>
              <w:b/>
              <w:bCs/>
              <w:szCs w:val="24"/>
              <w:lang w:val="en-GB" w:eastAsia="en-GB"/>
            </w:rPr>
          </w:pPr>
          <w:r>
            <w:rPr>
              <w:b/>
              <w:bCs/>
              <w:szCs w:val="24"/>
              <w:lang w:val="en-GB" w:eastAsia="en-GB"/>
            </w:rPr>
            <w:t>ĮSAKYMAS</w:t>
          </w:r>
        </w:p>
        <w:p w:rsidR="00E64D99" w:rsidRDefault="002C73D0">
          <w:pPr>
            <w:suppressAutoHyphens/>
            <w:jc w:val="center"/>
            <w:textAlignment w:val="baseline"/>
            <w:rPr>
              <w:b/>
              <w:bCs/>
              <w:color w:val="000000"/>
              <w:szCs w:val="24"/>
              <w:shd w:val="clear" w:color="auto" w:fill="FFFFFF"/>
            </w:rPr>
          </w:pPr>
          <w:r>
            <w:rPr>
              <w:b/>
              <w:bCs/>
              <w:szCs w:val="24"/>
              <w:shd w:val="clear" w:color="auto" w:fill="FFFFFF"/>
            </w:rPr>
            <w:t xml:space="preserve">DĖL LIETUVOS RESPUBLIKOS APLINKOS MINISTRO 2002 M. BIRŽELIO 27 D. ĮSAKYMO NR. 348 „DĖL PAKUOČIŲ IR PAKUOČIŲ ATLIEKŲ TVARKYMO </w:t>
          </w:r>
          <w:r>
            <w:rPr>
              <w:b/>
              <w:bCs/>
              <w:szCs w:val="24"/>
              <w:shd w:val="clear" w:color="auto" w:fill="FFFFFF"/>
            </w:rPr>
            <w:t>TAISYKLIŲ PATVIRTINIMO“ PAKEITIMO</w:t>
          </w:r>
        </w:p>
        <w:p w:rsidR="00E64D99" w:rsidRDefault="00E64D99">
          <w:pPr>
            <w:suppressAutoHyphens/>
            <w:jc w:val="center"/>
            <w:rPr>
              <w:b/>
              <w:lang w:eastAsia="lt-LT"/>
            </w:rPr>
          </w:pPr>
        </w:p>
        <w:p w:rsidR="00E64D99" w:rsidRDefault="00E64D99">
          <w:pPr>
            <w:suppressAutoHyphens/>
            <w:jc w:val="center"/>
            <w:rPr>
              <w:b/>
              <w:lang w:eastAsia="lt-LT"/>
            </w:rPr>
          </w:pPr>
        </w:p>
        <w:p w:rsidR="00E64D99" w:rsidRDefault="002C73D0">
          <w:pPr>
            <w:suppressAutoHyphens/>
            <w:jc w:val="center"/>
            <w:rPr>
              <w:lang w:eastAsia="lt-LT"/>
            </w:rPr>
          </w:pPr>
          <w:r>
            <w:rPr>
              <w:lang w:eastAsia="lt-LT"/>
            </w:rPr>
            <w:t>2022 m.  gruodžio 6</w:t>
          </w:r>
          <w:r>
            <w:rPr>
              <w:lang w:eastAsia="lt-LT"/>
            </w:rPr>
            <w:t xml:space="preserve"> d. Nr. D1-387</w:t>
          </w:r>
        </w:p>
        <w:p w:rsidR="002C73D0" w:rsidRDefault="002C73D0">
          <w:pPr>
            <w:suppressAutoHyphens/>
            <w:jc w:val="center"/>
            <w:rPr>
              <w:lang w:eastAsia="lt-LT"/>
            </w:rPr>
          </w:pPr>
          <w:r>
            <w:rPr>
              <w:lang w:eastAsia="lt-LT"/>
            </w:rPr>
            <w:t>Vilnius</w:t>
          </w:r>
        </w:p>
        <w:p w:rsidR="00E64D99" w:rsidRDefault="00E64D99">
          <w:pPr>
            <w:suppressAutoHyphens/>
            <w:jc w:val="center"/>
            <w:rPr>
              <w:rFonts w:ascii="Arial" w:hAnsi="Arial"/>
              <w:spacing w:val="8"/>
              <w:lang w:eastAsia="lt-LT"/>
            </w:rPr>
          </w:pPr>
        </w:p>
        <w:p w:rsidR="002C73D0" w:rsidRDefault="002C73D0">
          <w:pPr>
            <w:suppressAutoHyphens/>
            <w:jc w:val="center"/>
            <w:rPr>
              <w:rFonts w:ascii="Arial" w:hAnsi="Arial"/>
              <w:spacing w:val="8"/>
              <w:lang w:eastAsia="lt-LT"/>
            </w:rPr>
          </w:pPr>
        </w:p>
        <w:sdt>
          <w:sdtPr>
            <w:alias w:val="preambule"/>
            <w:tag w:val="part_36b3001d945a4cb4a4f2dd4c262e2859"/>
            <w:id w:val="1260104533"/>
            <w:lock w:val="sdtLocked"/>
          </w:sdtPr>
          <w:sdtEndPr/>
          <w:sdtContent>
            <w:p w:rsidR="00E64D99" w:rsidRDefault="002C73D0">
              <w:pPr>
                <w:suppressAutoHyphens/>
                <w:ind w:firstLine="567"/>
                <w:jc w:val="both"/>
                <w:rPr>
                  <w:color w:val="000000"/>
                  <w:lang w:eastAsia="lt-LT"/>
                </w:rPr>
              </w:pPr>
              <w:r>
                <w:rPr>
                  <w:color w:val="000000"/>
                  <w:spacing w:val="50"/>
                  <w:lang w:eastAsia="lt-LT"/>
                </w:rPr>
                <w:t>Pakeičiu</w:t>
              </w:r>
              <w:r>
                <w:rPr>
                  <w:color w:val="000000"/>
                  <w:lang w:eastAsia="lt-LT"/>
                </w:rPr>
                <w:t> Pakuočių ir pakuočių atliekų tvarkymo taisyklių, patvirtintų Lietuvos Respublikos aplinkos ministro 2002 m. birželio 27 d. įsakymu Nr.</w:t>
              </w:r>
              <w:r>
                <w:rPr>
                  <w:szCs w:val="24"/>
                  <w:lang w:eastAsia="lt-LT"/>
                </w:rPr>
                <w:t> </w:t>
              </w:r>
              <w:r>
                <w:rPr>
                  <w:color w:val="000000"/>
                  <w:lang w:eastAsia="lt-LT"/>
                </w:rPr>
                <w:t>348</w:t>
              </w:r>
              <w:r>
                <w:rPr>
                  <w:szCs w:val="24"/>
                  <w:lang w:eastAsia="lt-LT"/>
                </w:rPr>
                <w:t> </w:t>
              </w:r>
              <w:r>
                <w:rPr>
                  <w:color w:val="000000"/>
                  <w:lang w:eastAsia="lt-LT"/>
                </w:rPr>
                <w:t xml:space="preserve"> „Dėl Pakuočių ir pakuočių atliekų tvarkymo taisyklių patvirtinimo“:</w:t>
              </w:r>
            </w:p>
          </w:sdtContent>
        </w:sdt>
        <w:sdt>
          <w:sdtPr>
            <w:alias w:val="1 p."/>
            <w:tag w:val="part_ae74a243056c47d08c35bc620074bf00"/>
            <w:id w:val="197583861"/>
            <w:lock w:val="sdtLocked"/>
          </w:sdtPr>
          <w:sdtEndPr/>
          <w:sdtContent>
            <w:p w:rsidR="00E64D99" w:rsidRDefault="002C73D0">
              <w:pPr>
                <w:suppressAutoHyphens/>
                <w:ind w:firstLine="567"/>
                <w:jc w:val="both"/>
                <w:rPr>
                  <w:color w:val="000000"/>
                  <w:lang w:eastAsia="lt-LT"/>
                </w:rPr>
              </w:pPr>
              <w:sdt>
                <w:sdtPr>
                  <w:alias w:val="Numeris"/>
                  <w:tag w:val="nr_ae74a243056c47d08c35bc620074bf00"/>
                  <w:id w:val="813219887"/>
                  <w:lock w:val="sdtLocked"/>
                </w:sdtPr>
                <w:sdtEndPr/>
                <w:sdtContent>
                  <w:r>
                    <w:rPr>
                      <w:color w:val="000000"/>
                      <w:lang w:eastAsia="lt-LT"/>
                    </w:rPr>
                    <w:t>1</w:t>
                  </w:r>
                </w:sdtContent>
              </w:sdt>
              <w:r>
                <w:rPr>
                  <w:color w:val="000000"/>
                  <w:lang w:eastAsia="lt-LT"/>
                </w:rPr>
                <w:t>. Pakeičiu 9.2 papunktį ir jį išdėstau taip:</w:t>
              </w:r>
            </w:p>
            <w:sdt>
              <w:sdtPr>
                <w:alias w:val="citata"/>
                <w:tag w:val="part_3930321327ca4e95b65542e99449d18a"/>
                <w:id w:val="406572423"/>
                <w:lock w:val="sdtLocked"/>
              </w:sdtPr>
              <w:sdtEndPr/>
              <w:sdtContent>
                <w:sdt>
                  <w:sdtPr>
                    <w:alias w:val="9.2 pp."/>
                    <w:tag w:val="part_e9215d1694404bd99f3f094ed4a96e0e"/>
                    <w:id w:val="-122776143"/>
                    <w:lock w:val="sdtLocked"/>
                  </w:sdtPr>
                  <w:sdtEndPr/>
                  <w:sdtContent>
                    <w:p w:rsidR="00E64D99" w:rsidRDefault="002C73D0">
                      <w:pPr>
                        <w:suppressAutoHyphens/>
                        <w:ind w:firstLine="567"/>
                        <w:jc w:val="both"/>
                        <w:rPr>
                          <w:color w:val="000000"/>
                          <w:szCs w:val="24"/>
                          <w:lang w:eastAsia="lt-LT"/>
                        </w:rPr>
                      </w:pPr>
                      <w:r>
                        <w:rPr>
                          <w:color w:val="000000"/>
                          <w:szCs w:val="24"/>
                          <w:lang w:eastAsia="lt-LT"/>
                        </w:rPr>
                        <w:t>„</w:t>
                      </w:r>
                      <w:sdt>
                        <w:sdtPr>
                          <w:alias w:val="Numeris"/>
                          <w:tag w:val="nr_e9215d1694404bd99f3f094ed4a96e0e"/>
                          <w:id w:val="637921122"/>
                          <w:lock w:val="sdtLocked"/>
                        </w:sdtPr>
                        <w:sdtEndPr/>
                        <w:sdtContent>
                          <w:r>
                            <w:rPr>
                              <w:color w:val="000000"/>
                              <w:szCs w:val="24"/>
                              <w:lang w:eastAsia="lt-LT"/>
                            </w:rPr>
                            <w:t>9.2</w:t>
                          </w:r>
                        </w:sdtContent>
                      </w:sdt>
                      <w:r>
                        <w:rPr>
                          <w:color w:val="000000"/>
                          <w:szCs w:val="24"/>
                          <w:lang w:eastAsia="lt-LT"/>
                        </w:rPr>
                        <w:t>. plastikinėms dėžėms ir plastikiniams padėklams, naudojamiems ir taisomiems uždarojoje valdomojoje pakuočių sistemoje, kaip numaty</w:t>
                      </w:r>
                      <w:r>
                        <w:rPr>
                          <w:color w:val="000000"/>
                          <w:szCs w:val="24"/>
                          <w:lang w:eastAsia="lt-LT"/>
                        </w:rPr>
                        <w:t>ta 2009 m. kovo 24 d. Komisijos sprendime Nr. 2009/292/EB, kuriuo nustatomos leidžiančių nukrypti nuostatų, taikomų sunkiųjų metalų koncentracijos plastikinėse dėžėse ir plastikiniuose padėkluose lygiui, nustatytam Europos Parlamento ir Tarybos direktyvoje</w:t>
                      </w:r>
                      <w:r>
                        <w:rPr>
                          <w:color w:val="000000"/>
                          <w:szCs w:val="24"/>
                          <w:lang w:eastAsia="lt-LT"/>
                        </w:rPr>
                        <w:t xml:space="preserve"> 94/62/EB dėl pakuočių ir pakuočių atliekų, sąlygos. Į plastikines dėžes ir plastikinius padėklus kenksmingosios medžiagos gali patekti tik atsitiktinai, o jų koncentracijos lygis, nurodytas Taisyklių 8 punkte, gali būti viršytas, kai šioms pakuotėms gamin</w:t>
                      </w:r>
                      <w:r>
                        <w:rPr>
                          <w:color w:val="000000"/>
                          <w:szCs w:val="24"/>
                          <w:lang w:eastAsia="lt-LT"/>
                        </w:rPr>
                        <w:t>ti naudojamos antrinės žaliavos. Siekiant sumažinti sunkiųjų metalų kiekį plastikinėse dėžėse ir plastikiniuose padėkluose iki Taisyklių 8 punkte nurodyto koncentracijos lygio, rekomenduojama pakuočių gamintojams plastikinių dėžių ir plastikinių padėklų ga</w:t>
                      </w:r>
                      <w:r>
                        <w:rPr>
                          <w:color w:val="000000"/>
                          <w:szCs w:val="24"/>
                          <w:lang w:eastAsia="lt-LT"/>
                        </w:rPr>
                        <w:t>mybos proceso metu taikyti geriausius prieinamus sunkiųjų metalų šalinimo būdus;“.</w:t>
                      </w:r>
                    </w:p>
                  </w:sdtContent>
                </w:sdt>
              </w:sdtContent>
            </w:sdt>
          </w:sdtContent>
        </w:sdt>
        <w:sdt>
          <w:sdtPr>
            <w:alias w:val="2 p."/>
            <w:tag w:val="part_081fdfc7e4f244549270a3e46336f5a7"/>
            <w:id w:val="1811201132"/>
            <w:lock w:val="sdtLocked"/>
          </w:sdtPr>
          <w:sdtEndPr/>
          <w:sdtContent>
            <w:p w:rsidR="00E64D99" w:rsidRDefault="002C73D0">
              <w:pPr>
                <w:suppressAutoHyphens/>
                <w:ind w:firstLine="567"/>
                <w:jc w:val="both"/>
                <w:rPr>
                  <w:color w:val="000000"/>
                  <w:lang w:eastAsia="lt-LT"/>
                </w:rPr>
              </w:pPr>
              <w:sdt>
                <w:sdtPr>
                  <w:alias w:val="Numeris"/>
                  <w:tag w:val="nr_081fdfc7e4f244549270a3e46336f5a7"/>
                  <w:id w:val="-1971665417"/>
                  <w:lock w:val="sdtLocked"/>
                </w:sdtPr>
                <w:sdtEndPr/>
                <w:sdtContent>
                  <w:r>
                    <w:rPr>
                      <w:color w:val="000000"/>
                      <w:lang w:eastAsia="lt-LT"/>
                    </w:rPr>
                    <w:t>2</w:t>
                  </w:r>
                </w:sdtContent>
              </w:sdt>
              <w:r>
                <w:rPr>
                  <w:color w:val="000000"/>
                  <w:lang w:eastAsia="lt-LT"/>
                </w:rPr>
                <w:t>. Pakeičiu 9.3 papunktį ir jį išdėstau taip:</w:t>
              </w:r>
            </w:p>
            <w:sdt>
              <w:sdtPr>
                <w:alias w:val="citata"/>
                <w:tag w:val="part_36a7d8b235db4d82be3df93dbc06b2da"/>
                <w:id w:val="-1861653278"/>
                <w:lock w:val="sdtLocked"/>
              </w:sdtPr>
              <w:sdtEndPr/>
              <w:sdtContent>
                <w:sdt>
                  <w:sdtPr>
                    <w:alias w:val="9.3 pp."/>
                    <w:tag w:val="part_50e17fe4f201470186dafbd6eedd8e81"/>
                    <w:id w:val="-78674088"/>
                    <w:lock w:val="sdtLocked"/>
                  </w:sdtPr>
                  <w:sdtEndPr/>
                  <w:sdtContent>
                    <w:p w:rsidR="00E64D99" w:rsidRDefault="002C73D0">
                      <w:pPr>
                        <w:suppressAutoHyphens/>
                        <w:ind w:firstLine="567"/>
                        <w:jc w:val="both"/>
                        <w:rPr>
                          <w:color w:val="000000"/>
                          <w:szCs w:val="24"/>
                          <w:lang w:eastAsia="lt-LT"/>
                        </w:rPr>
                      </w:pPr>
                      <w:r>
                        <w:rPr>
                          <w:color w:val="000000"/>
                          <w:szCs w:val="24"/>
                          <w:lang w:eastAsia="lt-LT"/>
                        </w:rPr>
                        <w:t>„</w:t>
                      </w:r>
                      <w:sdt>
                        <w:sdtPr>
                          <w:alias w:val="Numeris"/>
                          <w:tag w:val="nr_50e17fe4f201470186dafbd6eedd8e81"/>
                          <w:id w:val="128139147"/>
                          <w:lock w:val="sdtLocked"/>
                        </w:sdtPr>
                        <w:sdtEndPr/>
                        <w:sdtContent>
                          <w:r>
                            <w:rPr>
                              <w:color w:val="000000"/>
                              <w:szCs w:val="24"/>
                              <w:lang w:eastAsia="lt-LT"/>
                            </w:rPr>
                            <w:t>9.3</w:t>
                          </w:r>
                        </w:sdtContent>
                      </w:sdt>
                      <w:r>
                        <w:rPr>
                          <w:color w:val="000000"/>
                          <w:szCs w:val="24"/>
                          <w:lang w:eastAsia="lt-LT"/>
                        </w:rPr>
                        <w:t>. stiklinėms pakuotėms, kai laikomasi 2001 m. vasario 19 d. Komisijos sprendime Nr. 2001/171/EB, nustatančiame są</w:t>
                      </w:r>
                      <w:r>
                        <w:rPr>
                          <w:color w:val="000000"/>
                          <w:szCs w:val="24"/>
                          <w:lang w:eastAsia="lt-LT"/>
                        </w:rPr>
                        <w:t>lygas dėl išimčių sunkiųjų metalų koncentracijos stiklo pakuotėse lygiams, nustatytiems Direktyvoje 94/62/EB dėl pakuočių ir pakuočių atliekų su pakeitimais, padarytais 2006 m. gegužės 8 d. Komisijos sprendimu Nr. 2006/340/EB, nustatytų reikalavimų.“</w:t>
                      </w:r>
                    </w:p>
                  </w:sdtContent>
                </w:sdt>
              </w:sdtContent>
            </w:sdt>
          </w:sdtContent>
        </w:sdt>
        <w:sdt>
          <w:sdtPr>
            <w:alias w:val="3 p."/>
            <w:tag w:val="part_6b3f25c1d57f4dc6b987c11f3301c47e"/>
            <w:id w:val="1093210030"/>
            <w:lock w:val="sdtLocked"/>
          </w:sdtPr>
          <w:sdtEndPr/>
          <w:sdtContent>
            <w:p w:rsidR="00E64D99" w:rsidRDefault="002C73D0">
              <w:pPr>
                <w:suppressAutoHyphens/>
                <w:ind w:firstLine="567"/>
                <w:jc w:val="both"/>
                <w:rPr>
                  <w:color w:val="000000"/>
                  <w:lang w:eastAsia="lt-LT"/>
                </w:rPr>
              </w:pPr>
              <w:sdt>
                <w:sdtPr>
                  <w:alias w:val="Numeris"/>
                  <w:tag w:val="nr_6b3f25c1d57f4dc6b987c11f3301c47e"/>
                  <w:id w:val="-203491925"/>
                  <w:lock w:val="sdtLocked"/>
                </w:sdtPr>
                <w:sdtEndPr/>
                <w:sdtContent>
                  <w:r>
                    <w:rPr>
                      <w:color w:val="000000"/>
                      <w:lang w:eastAsia="lt-LT"/>
                    </w:rPr>
                    <w:t>3</w:t>
                  </w:r>
                </w:sdtContent>
              </w:sdt>
              <w:r>
                <w:rPr>
                  <w:color w:val="000000"/>
                  <w:lang w:eastAsia="lt-LT"/>
                </w:rPr>
                <w:t>. Pakeičiu 24.6 papunktį ir jį išdėstau taip:</w:t>
              </w:r>
            </w:p>
            <w:sdt>
              <w:sdtPr>
                <w:alias w:val="citata"/>
                <w:tag w:val="part_471bbf9c68f343bd85ec7dfb60b2605e"/>
                <w:id w:val="-1838766455"/>
                <w:lock w:val="sdtLocked"/>
              </w:sdtPr>
              <w:sdtEndPr/>
              <w:sdtContent>
                <w:sdt>
                  <w:sdtPr>
                    <w:alias w:val="24.6 pp."/>
                    <w:tag w:val="part_5cdfeffe8f444fbe96d8dad4a8c47f5d"/>
                    <w:id w:val="-1864901917"/>
                    <w:lock w:val="sdtLocked"/>
                  </w:sdtPr>
                  <w:sdtEndPr/>
                  <w:sdtContent>
                    <w:p w:rsidR="00E64D99" w:rsidRDefault="002C73D0" w:rsidP="002C73D0">
                      <w:pPr>
                        <w:suppressAutoHyphens/>
                        <w:ind w:firstLine="567"/>
                        <w:jc w:val="both"/>
                        <w:rPr>
                          <w:bCs/>
                          <w:szCs w:val="24"/>
                          <w:lang w:eastAsia="lt-LT"/>
                        </w:rPr>
                      </w:pPr>
                      <w:r>
                        <w:rPr>
                          <w:color w:val="000000"/>
                          <w:lang w:eastAsia="lt-LT"/>
                        </w:rPr>
                        <w:t>„</w:t>
                      </w:r>
                      <w:sdt>
                        <w:sdtPr>
                          <w:alias w:val="Numeris"/>
                          <w:tag w:val="nr_5cdfeffe8f444fbe96d8dad4a8c47f5d"/>
                          <w:id w:val="112339242"/>
                          <w:lock w:val="sdtLocked"/>
                        </w:sdtPr>
                        <w:sdtEndPr/>
                        <w:sdtContent>
                          <w:r>
                            <w:rPr>
                              <w:color w:val="000000"/>
                              <w:lang w:eastAsia="lt-LT"/>
                            </w:rPr>
                            <w:t>24.6</w:t>
                          </w:r>
                        </w:sdtContent>
                      </w:sdt>
                      <w:r>
                        <w:rPr>
                          <w:color w:val="000000"/>
                          <w:lang w:eastAsia="lt-LT"/>
                        </w:rPr>
                        <w:t>. savoms reikmėms sunaudota gaminių pripildyta pakuotė ir perleista kitam asmeniui gaminių pripildyta pakuotė gali būti apskaitomos kartu (įskaičiuojant šių pakuočių kiekį į bendrą rinkai patiektą ki</w:t>
                      </w:r>
                      <w:r>
                        <w:rPr>
                          <w:color w:val="000000"/>
                          <w:lang w:eastAsia="lt-LT"/>
                        </w:rPr>
                        <w:t>ekį) arba apskaitomos atskirai. Apskaitos būdą, kaip apskaityti savoms reikmėms sunaudotą gaminių pripildytą pakuotę ir perleistą kitam asmeniui gaminių pripildytą pakuotę (apskaitant šias pakuotes kartu ar atskirai), gamintojai ir importuotojai turi pasir</w:t>
                      </w:r>
                      <w:r>
                        <w:rPr>
                          <w:color w:val="000000"/>
                          <w:lang w:eastAsia="lt-LT"/>
                        </w:rPr>
                        <w:t>inkti Vieningoje gaminių, pakuočių ir atliekų apskaitos informacinėje sistemoje ataskaitinių metų pradžioje ir šio apskaitos būdo nekeisti iki ataskaitinių metų pabaigos</w:t>
                      </w:r>
                      <w:r>
                        <w:rPr>
                          <w:color w:val="000000"/>
                          <w:szCs w:val="24"/>
                          <w:lang w:eastAsia="lt-LT"/>
                        </w:rPr>
                        <w:t>;“.</w:t>
                      </w:r>
                    </w:p>
                  </w:sdtContent>
                </w:sdt>
              </w:sdtContent>
            </w:sdt>
          </w:sdtContent>
        </w:sdt>
        <w:sdt>
          <w:sdtPr>
            <w:alias w:val="signatura"/>
            <w:tag w:val="part_92c9ff86f7884427b1bcbd8587750e8b"/>
            <w:id w:val="-889729056"/>
            <w:lock w:val="sdtLocked"/>
          </w:sdtPr>
          <w:sdtEndPr/>
          <w:sdtContent>
            <w:p w:rsidR="002C73D0" w:rsidRDefault="002C73D0">
              <w:pPr>
                <w:suppressAutoHyphens/>
              </w:pPr>
            </w:p>
            <w:p w:rsidR="002C73D0" w:rsidRDefault="002C73D0">
              <w:pPr>
                <w:suppressAutoHyphens/>
              </w:pPr>
            </w:p>
            <w:p w:rsidR="002C73D0" w:rsidRDefault="002C73D0">
              <w:pPr>
                <w:suppressAutoHyphens/>
              </w:pPr>
            </w:p>
            <w:p w:rsidR="00E64D99" w:rsidRDefault="002C73D0" w:rsidP="002C73D0">
              <w:pPr>
                <w:suppressAutoHyphens/>
                <w:rPr>
                  <w:lang w:eastAsia="lt-LT"/>
                </w:rPr>
              </w:pPr>
              <w:r>
                <w:rPr>
                  <w:bCs/>
                  <w:szCs w:val="24"/>
                  <w:lang w:eastAsia="lt-LT"/>
                </w:rPr>
                <w:t>Aplinkos ministras</w:t>
              </w:r>
              <w:r>
                <w:rPr>
                  <w:bCs/>
                  <w:szCs w:val="24"/>
                  <w:lang w:eastAsia="lt-LT"/>
                </w:rPr>
                <w:tab/>
              </w:r>
              <w:r>
                <w:rPr>
                  <w:bCs/>
                  <w:szCs w:val="24"/>
                  <w:lang w:eastAsia="lt-LT"/>
                </w:rPr>
                <w:tab/>
              </w:r>
              <w:r>
                <w:rPr>
                  <w:bCs/>
                  <w:szCs w:val="24"/>
                  <w:lang w:eastAsia="lt-LT"/>
                </w:rPr>
                <w:tab/>
              </w:r>
              <w:r>
                <w:rPr>
                  <w:bCs/>
                  <w:szCs w:val="24"/>
                  <w:lang w:eastAsia="lt-LT"/>
                </w:rPr>
                <w:tab/>
              </w:r>
              <w:r>
                <w:rPr>
                  <w:bCs/>
                  <w:szCs w:val="24"/>
                  <w:lang w:eastAsia="lt-LT"/>
                </w:rPr>
                <w:tab/>
              </w:r>
              <w:r>
                <w:rPr>
                  <w:bCs/>
                  <w:szCs w:val="24"/>
                  <w:lang w:eastAsia="lt-LT"/>
                </w:rPr>
                <w:tab/>
              </w:r>
              <w:r>
                <w:rPr>
                  <w:bCs/>
                  <w:szCs w:val="24"/>
                  <w:lang w:eastAsia="lt-LT"/>
                </w:rPr>
                <w:tab/>
              </w:r>
              <w:r>
                <w:rPr>
                  <w:bCs/>
                  <w:szCs w:val="24"/>
                  <w:lang w:eastAsia="lt-LT"/>
                </w:rPr>
                <w:tab/>
                <w:t xml:space="preserve">          Simonas Gentvilas</w:t>
              </w:r>
            </w:p>
            <w:bookmarkStart w:id="0" w:name="_GoBack" w:displacedByCustomXml="next"/>
            <w:bookmarkEnd w:id="0" w:displacedByCustomXml="next"/>
          </w:sdtContent>
        </w:sdt>
      </w:sdtContent>
    </w:sdt>
    <w:sectPr w:rsidR="00E64D99">
      <w:headerReference w:type="default" r:id="rId12"/>
      <w:footnotePr>
        <w:pos w:val="beneathText"/>
      </w:footnotePr>
      <w:type w:val="continuous"/>
      <w:pgSz w:w="11905" w:h="16837" w:code="9"/>
      <w:pgMar w:top="1134" w:right="567" w:bottom="1134" w:left="1701" w:header="567" w:footer="567" w:gutter="0"/>
      <w:cols w:space="1296"/>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64D99" w:rsidRDefault="002C73D0">
      <w:pPr>
        <w:suppressAutoHyphens/>
        <w:rPr>
          <w:lang w:eastAsia="lt-LT"/>
        </w:rPr>
      </w:pPr>
      <w:r>
        <w:rPr>
          <w:lang w:eastAsia="lt-LT"/>
        </w:rPr>
        <w:separator/>
      </w:r>
    </w:p>
  </w:endnote>
  <w:endnote w:type="continuationSeparator" w:id="0">
    <w:p w:rsidR="00E64D99" w:rsidRDefault="002C73D0">
      <w:pPr>
        <w:suppressAutoHyphens/>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64D99" w:rsidRDefault="002C73D0">
      <w:pPr>
        <w:suppressAutoHyphens/>
        <w:rPr>
          <w:lang w:eastAsia="lt-LT"/>
        </w:rPr>
      </w:pPr>
      <w:r>
        <w:rPr>
          <w:lang w:eastAsia="lt-LT"/>
        </w:rPr>
        <w:separator/>
      </w:r>
    </w:p>
  </w:footnote>
  <w:footnote w:type="continuationSeparator" w:id="0">
    <w:p w:rsidR="00E64D99" w:rsidRDefault="002C73D0">
      <w:pPr>
        <w:suppressAutoHyphens/>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4D99" w:rsidRDefault="002C73D0">
    <w:pPr>
      <w:tabs>
        <w:tab w:val="center" w:pos="4153"/>
        <w:tab w:val="right" w:pos="9100"/>
      </w:tabs>
      <w:suppressAutoHyphens/>
      <w:jc w:val="center"/>
      <w:rPr>
        <w:rFonts w:ascii="Tahoma" w:hAnsi="Tahoma"/>
        <w:spacing w:val="10"/>
        <w:sz w:val="20"/>
        <w:lang w:eastAsia="lt-LT"/>
      </w:rPr>
    </w:pPr>
    <w:r>
      <w:rPr>
        <w:rFonts w:ascii="Tahoma" w:hAnsi="Tahoma"/>
        <w:spacing w:val="10"/>
        <w:sz w:val="20"/>
        <w:lang w:eastAsia="lt-LT"/>
      </w:rPr>
      <w:fldChar w:fldCharType="begin"/>
    </w:r>
    <w:r>
      <w:rPr>
        <w:rFonts w:ascii="Tahoma" w:hAnsi="Tahoma"/>
        <w:spacing w:val="10"/>
        <w:sz w:val="20"/>
        <w:lang w:eastAsia="lt-LT"/>
      </w:rPr>
      <w:instrText xml:space="preserve">PAGE   </w:instrText>
    </w:r>
    <w:r>
      <w:rPr>
        <w:rFonts w:ascii="Tahoma" w:hAnsi="Tahoma"/>
        <w:spacing w:val="10"/>
        <w:sz w:val="20"/>
        <w:lang w:eastAsia="lt-LT"/>
      </w:rPr>
      <w:instrText>\* MERGEFORMAT</w:instrText>
    </w:r>
    <w:r>
      <w:rPr>
        <w:rFonts w:ascii="Tahoma" w:hAnsi="Tahoma"/>
        <w:spacing w:val="10"/>
        <w:sz w:val="20"/>
        <w:lang w:eastAsia="lt-LT"/>
      </w:rPr>
      <w:fldChar w:fldCharType="separate"/>
    </w:r>
    <w:r>
      <w:rPr>
        <w:rFonts w:ascii="Tahoma" w:hAnsi="Tahoma"/>
        <w:noProof/>
        <w:spacing w:val="10"/>
        <w:sz w:val="20"/>
        <w:lang w:eastAsia="lt-LT"/>
      </w:rPr>
      <w:t>2</w:t>
    </w:r>
    <w:r>
      <w:rPr>
        <w:rFonts w:ascii="Tahoma" w:hAnsi="Tahoma"/>
        <w:spacing w:val="10"/>
        <w:sz w:val="20"/>
        <w:lang w:eastAsia="lt-LT"/>
      </w:rPr>
      <w:fldChar w:fldCharType="end"/>
    </w:r>
  </w:p>
  <w:p w:rsidR="00E64D99" w:rsidRDefault="00E64D99">
    <w:pPr>
      <w:tabs>
        <w:tab w:val="left" w:pos="3344"/>
        <w:tab w:val="left" w:pos="8291"/>
      </w:tabs>
      <w:suppressAutoHyphens/>
      <w:spacing w:before="120" w:after="60"/>
      <w:ind w:left="-17" w:firstLine="17"/>
      <w:jc w:val="center"/>
      <w:rPr>
        <w:b/>
        <w:bCs/>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16385"/>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355B"/>
    <w:rsid w:val="002C355B"/>
    <w:rsid w:val="002C73D0"/>
    <w:rsid w:val="00E64D9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53A49A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Numeris xmlns="58c6f6df-7e1f-4a2e-8979-e3f4c92e56f2" xsi:nil="true"/>
    <lcf76f155ced4ddcb4097134ff3c332f xmlns="58c6f6df-7e1f-4a2e-8979-e3f4c92e56f2">
      <Terms xmlns="http://schemas.microsoft.com/office/infopath/2007/PartnerControls"/>
    </lcf76f155ced4ddcb4097134ff3c332f>
    <TaxCatchAll xmlns="2ad30025-d0d5-4532-b26e-26983efa1e1c"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FDA964F1C275C4D86F2E57031B6AE29" ma:contentTypeVersion="17" ma:contentTypeDescription="Create a new document." ma:contentTypeScope="" ma:versionID="e75efcf74fd4737dec9b964b6ea75a6b">
  <xsd:schema xmlns:xsd="http://www.w3.org/2001/XMLSchema" xmlns:xs="http://www.w3.org/2001/XMLSchema" xmlns:p="http://schemas.microsoft.com/office/2006/metadata/properties" xmlns:ns2="58c6f6df-7e1f-4a2e-8979-e3f4c92e56f2" xmlns:ns3="2ad30025-d0d5-4532-b26e-26983efa1e1c" targetNamespace="http://schemas.microsoft.com/office/2006/metadata/properties" ma:root="true" ma:fieldsID="6c5dfeb1b5eecba69259b2ef8df78cdd" ns2:_="" ns3:_="">
    <xsd:import namespace="58c6f6df-7e1f-4a2e-8979-e3f4c92e56f2"/>
    <xsd:import namespace="2ad30025-d0d5-4532-b26e-26983efa1e1c"/>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Numeris" minOccurs="0"/>
                <xsd:element ref="ns2:MediaLengthInSeconds" minOccurs="0"/>
                <xsd:element ref="ns2:MediaServiceLoca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8c6f6df-7e1f-4a2e-8979-e3f4c92e56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Numeris" ma:index="19" nillable="true" ma:displayName="Numeris" ma:format="Dropdown" ma:internalName="Numeris" ma:percentage="FALSE">
      <xsd:simpleType>
        <xsd:restriction base="dms:Number"/>
      </xsd:simpleType>
    </xsd:element>
    <xsd:element name="MediaLengthInSeconds" ma:index="20" nillable="true" ma:displayName="Length (seconds)"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2ad30025-d0d5-4532-b26e-26983efa1e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9eef2003-cea1-49d5-8046-55768a5991a4}" ma:internalName="TaxCatchAll" ma:showField="CatchAllData" ma:web="2ad30025-d0d5-4532-b26e-26983efa1e1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40822ac7611048eabb65ad9fef838069" PartId="dd6058c2f1924e3abe53c99be038813e">
    <Part Type="preambule" DocPartId="958a38ac55f84d22b38420867f6da768" PartId="36b3001d945a4cb4a4f2dd4c262e2859"/>
    <Part Type="punktas" Nr="1" Abbr="1 p." DocPartId="55eab812ec1549b4be1872bf109cc7b9" PartId="ae74a243056c47d08c35bc620074bf00">
      <Part Type="citata" DocPartId="ff1b1546ddd94a608ba2f35d09d0ee2a" PartId="3930321327ca4e95b65542e99449d18a">
        <Part Type="papunktis" Nr="9.2" Abbr="9.2 pp." DocPartId="1737b386139147168e8c2a7bf9efb65b" PartId="e9215d1694404bd99f3f094ed4a96e0e"/>
      </Part>
    </Part>
    <Part Type="punktas" Nr="2" Abbr="2 p." DocPartId="1f6d87e828314c8abe16a70fbb828c6d" PartId="081fdfc7e4f244549270a3e46336f5a7">
      <Part Type="citata" DocPartId="ab245b06d63849b4a872829f40c5d4b9" PartId="36a7d8b235db4d82be3df93dbc06b2da">
        <Part Type="papunktis" Nr="9.3" Abbr="9.3 pp." DocPartId="64e9e7a29dfb4d0eb150c732c8b69622" PartId="50e17fe4f201470186dafbd6eedd8e81"/>
      </Part>
    </Part>
    <Part Type="punktas" Nr="3" Abbr="3 p." DocPartId="1458bfd404a341c293ec9d12cb5e45cb" PartId="6b3f25c1d57f4dc6b987c11f3301c47e">
      <Part Type="citata" DocPartId="8c2082d7847e43cb88f0759547e02a20" PartId="471bbf9c68f343bd85ec7dfb60b2605e">
        <Part Type="papunktis" Nr="24.6" Abbr="24.6 pp." DocPartId="3e64227c6c6142a8be4459edaf3f84ef" PartId="5cdfeffe8f444fbe96d8dad4a8c47f5d"/>
      </Part>
    </Part>
    <Part Type="signatura" DocPartId="4e140851dbfe4803b016bc198e5932f9" PartId="92c9ff86f7884427b1bcbd8587750e8b"/>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A71CDB-73C5-4841-972B-AF905D5930EA}">
  <ds:schemaRefs>
    <ds:schemaRef ds:uri="http://schemas.microsoft.com/office/2006/documentManagement/types"/>
    <ds:schemaRef ds:uri="http://purl.org/dc/elements/1.1/"/>
    <ds:schemaRef ds:uri="http://schemas.microsoft.com/office/2006/metadata/properties"/>
    <ds:schemaRef ds:uri="http://purl.org/dc/terms/"/>
    <ds:schemaRef ds:uri="http://schemas.openxmlformats.org/package/2006/metadata/core-properties"/>
    <ds:schemaRef ds:uri="http://purl.org/dc/dcmitype/"/>
    <ds:schemaRef ds:uri="http://schemas.microsoft.com/office/infopath/2007/PartnerControls"/>
    <ds:schemaRef ds:uri="2ad30025-d0d5-4532-b26e-26983efa1e1c"/>
    <ds:schemaRef ds:uri="58c6f6df-7e1f-4a2e-8979-e3f4c92e56f2"/>
    <ds:schemaRef ds:uri="http://www.w3.org/XML/1998/namespace"/>
  </ds:schemaRefs>
</ds:datastoreItem>
</file>

<file path=customXml/itemProps2.xml><?xml version="1.0" encoding="utf-8"?>
<ds:datastoreItem xmlns:ds="http://schemas.openxmlformats.org/officeDocument/2006/customXml" ds:itemID="{0B942171-43F3-4381-B594-ABBEE3E674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8c6f6df-7e1f-4a2e-8979-e3f4c92e56f2"/>
    <ds:schemaRef ds:uri="2ad30025-d0d5-4532-b26e-26983efa1e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01FB198-41D3-4EC3-AFD9-2277C8B0E21D}">
  <ds:schemaRefs>
    <ds:schemaRef ds:uri="http://schemas.microsoft.com/sharepoint/v3/contenttype/forms"/>
  </ds:schemaRefs>
</ds:datastoreItem>
</file>

<file path=customXml/itemProps4.xml><?xml version="1.0" encoding="utf-8"?>
<ds:datastoreItem xmlns:ds="http://schemas.openxmlformats.org/officeDocument/2006/customXml" ds:itemID="{B88DEB69-BF20-438A-965C-C1E7EF4F0A22}">
  <ds:schemaRefs>
    <ds:schemaRef ds:uri="http://lrs.lt/TAIS/DocParts"/>
  </ds:schemaRefs>
</ds:datastoreItem>
</file>

<file path=customXml/itemProps5.xml><?xml version="1.0" encoding="utf-8"?>
<ds:datastoreItem xmlns:ds="http://schemas.openxmlformats.org/officeDocument/2006/customXml" ds:itemID="{AE70635B-9B57-4480-910D-92AA89B908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1717</Words>
  <Characters>979</Characters>
  <Application>Microsoft Office Word</Application>
  <DocSecurity>0</DocSecurity>
  <Lines>8</Lines>
  <Paragraphs>5</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2691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2022-12-06T11:23:00Z</dcterms:created>
  <dcterms:modified xsi:type="dcterms:W3CDTF">2022-12-06T12:19:00Z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0x0101003FDA964F1C275C4D86F2E57031B6AE29</vt:lpwstr>
  </property>
</Properties>
</file>