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A7588F7" wp14:editId="4A14484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GELEŽINKELIŲ TRANSPORTO KODEKSO 29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27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XIII-2253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trike/>
          <w:szCs w:val="24"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29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29 straipsnio 1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Viešosios geležinkelių infrastruktūros pajėgumus skiria </w:t>
      </w:r>
      <w:r>
        <w:rPr>
          <w:szCs w:val="24"/>
        </w:rPr>
        <w:t>šio Kodekso 7 straipsnio 3 dalyje nurodyta įstaiga</w:t>
      </w:r>
      <w:r>
        <w:rPr>
          <w:color w:val="000000"/>
          <w:szCs w:val="24"/>
        </w:rPr>
        <w:t>.</w:t>
      </w:r>
      <w:r>
        <w:rPr>
          <w:szCs w:val="24"/>
        </w:rPr>
        <w:t xml:space="preserve"> Reglamente (ES) Nr. 913/2010 nustatytais atvejais viešosios geležinkelių infrastruktūros pajėgumus krovinių vežimo koridoriuose skiria pagal šio reglamento 13 straipsnio 1 dalį paskirtas arba įsteigtas asmuo.</w:t>
      </w:r>
      <w:r>
        <w:rPr>
          <w:color w:val="000000"/>
          <w:szCs w:val="24"/>
        </w:rPr>
        <w:t xml:space="preserve"> Pareiškėjas negali jam skirtų viešosios geležinkelių infrastruktūros pajėgumų perduoti kitai įmonei ar kitai vežimo geležinkelių transportu paslaugai teikti arba šių pajėgumų parduoti.</w:t>
      </w:r>
      <w:r>
        <w:rPr>
          <w:bCs/>
          <w:color w:val="FF0000"/>
          <w:szCs w:val="24"/>
        </w:rPr>
        <w:t xml:space="preserve"> </w:t>
      </w:r>
      <w:r>
        <w:rPr>
          <w:szCs w:val="24"/>
        </w:rPr>
        <w:t>Jeigu, vykdydama pareiškėjo, kuris nėra geležinkelio įmonė (vežėjas), veiklą, viešosios geležinkelių infrastruktūros pajėgumus naudoja geležinkelio įmonė (vežėjas), tai nėra laikoma viešosios geležinkelių infrastruktūros pajėgumų perdavimu.“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953</Characters>
  <Application>Microsoft Office Word</Application>
  <DocSecurity>4</DocSecurity>
  <Lines>28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1071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2019-07-03T09:43:00Z</dcterms:created>
  <dc:creator>MOZERIENĖ Dainora</dc:creator>
  <lastModifiedBy>adlibuser</lastModifiedBy>
  <lastPrinted>2004-12-10T05:45:00Z</lastPrinted>
  <dcterms:modified xsi:type="dcterms:W3CDTF">2019-07-03T09:43:00Z</dcterms:modified>
  <revision>2</revision>
</coreProperties>
</file>