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A218" w14:textId="4DFEA906" w:rsidR="001F7F74" w:rsidRDefault="0025244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225A233" wp14:editId="1225A23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A219" w14:textId="77777777" w:rsidR="001F7F74" w:rsidRDefault="001F7F74">
      <w:pPr>
        <w:rPr>
          <w:sz w:val="10"/>
          <w:szCs w:val="10"/>
        </w:rPr>
      </w:pPr>
    </w:p>
    <w:p w14:paraId="1225A21A" w14:textId="77777777" w:rsidR="001F7F74" w:rsidRDefault="0025244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225A21B" w14:textId="77777777" w:rsidR="001F7F74" w:rsidRDefault="001F7F74">
      <w:pPr>
        <w:jc w:val="center"/>
        <w:rPr>
          <w:caps/>
          <w:lang w:eastAsia="lt-LT"/>
        </w:rPr>
      </w:pPr>
    </w:p>
    <w:p w14:paraId="1225A21C" w14:textId="77777777" w:rsidR="001F7F74" w:rsidRDefault="0025244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225A21D" w14:textId="77777777" w:rsidR="001F7F74" w:rsidRDefault="0025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VYRIAUSYBĖS 2002 M. BIRŽELIO 4 D. NUTARIMO </w:t>
      </w:r>
      <w:r>
        <w:rPr>
          <w:b/>
          <w:iCs/>
          <w:color w:val="000000"/>
          <w:szCs w:val="24"/>
          <w:lang w:eastAsia="lt-LT"/>
        </w:rPr>
        <w:t>NR. 821</w:t>
      </w:r>
      <w:r>
        <w:rPr>
          <w:b/>
          <w:szCs w:val="24"/>
          <w:lang w:eastAsia="lt-LT"/>
        </w:rPr>
        <w:t xml:space="preserve"> „DĖL AKCIZŲ ĮSTATYMO NUOSTATŲ ĮGYVENDINIMO“ PAKEITIMO</w:t>
      </w:r>
    </w:p>
    <w:p w14:paraId="1225A21E" w14:textId="77777777" w:rsidR="001F7F74" w:rsidRDefault="001F7F74">
      <w:pPr>
        <w:widowControl w:val="0"/>
        <w:jc w:val="center"/>
        <w:rPr>
          <w:b/>
          <w:caps/>
          <w:lang w:eastAsia="lt-LT"/>
        </w:rPr>
      </w:pPr>
    </w:p>
    <w:p w14:paraId="1225A220" w14:textId="59CCCC4C" w:rsidR="001F7F74" w:rsidRDefault="0025244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rugsėjo 18 d. </w:t>
      </w:r>
      <w:r>
        <w:rPr>
          <w:lang w:eastAsia="lt-LT"/>
        </w:rPr>
        <w:t>Nr. 967</w:t>
      </w:r>
    </w:p>
    <w:p w14:paraId="1225A221" w14:textId="77777777" w:rsidR="001F7F74" w:rsidRDefault="0025244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225A222" w14:textId="77777777" w:rsidR="001F7F74" w:rsidRDefault="001F7F74">
      <w:pPr>
        <w:jc w:val="center"/>
        <w:rPr>
          <w:lang w:eastAsia="lt-LT"/>
        </w:rPr>
      </w:pPr>
    </w:p>
    <w:p w14:paraId="3DA72E29" w14:textId="77777777" w:rsidR="00252443" w:rsidRDefault="00252443">
      <w:pPr>
        <w:jc w:val="center"/>
        <w:rPr>
          <w:lang w:eastAsia="lt-LT"/>
        </w:rPr>
      </w:pPr>
    </w:p>
    <w:p w14:paraId="1225A223" w14:textId="77777777" w:rsidR="001F7F74" w:rsidRDefault="0025244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225A224" w14:textId="77777777" w:rsidR="001F7F74" w:rsidRDefault="00252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Lietuvos Respublikos Vyriausybės 2002 m. birželio 4 d. nutarimą </w:t>
      </w:r>
      <w:r>
        <w:rPr>
          <w:iCs/>
          <w:color w:val="000000"/>
          <w:szCs w:val="24"/>
          <w:lang w:eastAsia="lt-LT"/>
        </w:rPr>
        <w:t>Nr. 821</w:t>
      </w:r>
      <w:r>
        <w:rPr>
          <w:szCs w:val="24"/>
          <w:lang w:eastAsia="lt-LT"/>
        </w:rPr>
        <w:t xml:space="preserve"> „Dėl Akcizų įstatymo nuostatų įgyvendinimo“:</w:t>
      </w:r>
    </w:p>
    <w:p w14:paraId="1225A225" w14:textId="77777777" w:rsidR="001F7F74" w:rsidRDefault="00252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preambulę ir ją išdėstyti taip:</w:t>
      </w:r>
    </w:p>
    <w:p w14:paraId="1225A226" w14:textId="77777777" w:rsidR="001F7F74" w:rsidRDefault="00252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„Vadovaudamasi Lietuvos Respublikos </w:t>
      </w:r>
      <w:r>
        <w:rPr>
          <w:iCs/>
          <w:color w:val="000000"/>
          <w:szCs w:val="24"/>
          <w:lang w:eastAsia="lt-LT"/>
        </w:rPr>
        <w:t>akcizų įstatymo</w:t>
      </w:r>
      <w:r>
        <w:rPr>
          <w:szCs w:val="24"/>
          <w:lang w:eastAsia="lt-LT"/>
        </w:rPr>
        <w:t xml:space="preserve"> </w:t>
      </w:r>
      <w:r>
        <w:rPr>
          <w:iCs/>
          <w:color w:val="000000"/>
          <w:szCs w:val="24"/>
          <w:lang w:eastAsia="lt-LT"/>
        </w:rPr>
        <w:t>4</w:t>
      </w:r>
      <w:r>
        <w:rPr>
          <w:szCs w:val="24"/>
          <w:lang w:eastAsia="lt-LT"/>
        </w:rPr>
        <w:t xml:space="preserve"> straipsnio 4 dalimi, </w:t>
      </w:r>
      <w:r>
        <w:rPr>
          <w:iCs/>
          <w:color w:val="000000"/>
          <w:szCs w:val="24"/>
          <w:lang w:eastAsia="lt-LT"/>
        </w:rPr>
        <w:t>6</w:t>
      </w:r>
      <w:r>
        <w:rPr>
          <w:szCs w:val="24"/>
          <w:lang w:eastAsia="lt-LT"/>
        </w:rPr>
        <w:t xml:space="preserve"> straipsnio 1 dalimi, </w:t>
      </w:r>
      <w:r>
        <w:rPr>
          <w:iCs/>
          <w:color w:val="000000"/>
          <w:szCs w:val="24"/>
          <w:lang w:eastAsia="lt-LT"/>
        </w:rPr>
        <w:t>7</w:t>
      </w:r>
      <w:r>
        <w:rPr>
          <w:szCs w:val="24"/>
          <w:lang w:eastAsia="lt-LT"/>
        </w:rPr>
        <w:t xml:space="preserve"> straipsnio 2 dalimi, </w:t>
      </w:r>
      <w:r>
        <w:rPr>
          <w:iCs/>
          <w:color w:val="000000"/>
          <w:szCs w:val="24"/>
          <w:lang w:eastAsia="lt-LT"/>
        </w:rPr>
        <w:t>8</w:t>
      </w:r>
      <w:r>
        <w:rPr>
          <w:szCs w:val="24"/>
          <w:lang w:eastAsia="lt-LT"/>
        </w:rPr>
        <w:t xml:space="preserve"> straipsnio 2 dalimi, </w:t>
      </w:r>
      <w:r>
        <w:rPr>
          <w:iCs/>
          <w:color w:val="000000"/>
          <w:szCs w:val="24"/>
          <w:lang w:eastAsia="lt-LT"/>
        </w:rPr>
        <w:t>9</w:t>
      </w:r>
      <w:r>
        <w:rPr>
          <w:szCs w:val="24"/>
          <w:lang w:eastAsia="lt-LT"/>
        </w:rPr>
        <w:t xml:space="preserve"> straipsnio 1 dalies 2 punktu, </w:t>
      </w:r>
      <w:r>
        <w:rPr>
          <w:iCs/>
          <w:color w:val="000000"/>
          <w:szCs w:val="24"/>
          <w:lang w:eastAsia="lt-LT"/>
        </w:rPr>
        <w:t>16</w:t>
      </w:r>
      <w:r>
        <w:rPr>
          <w:szCs w:val="24"/>
          <w:lang w:eastAsia="lt-LT"/>
        </w:rPr>
        <w:t xml:space="preserve"> straipsnio 5 dalies 2 punktu ir 7 dalimi, </w:t>
      </w:r>
      <w:r>
        <w:rPr>
          <w:iCs/>
          <w:color w:val="000000"/>
          <w:szCs w:val="24"/>
          <w:lang w:eastAsia="lt-LT"/>
        </w:rPr>
        <w:t>18</w:t>
      </w:r>
      <w:r>
        <w:rPr>
          <w:szCs w:val="24"/>
          <w:lang w:eastAsia="lt-LT"/>
        </w:rPr>
        <w:t xml:space="preserve"> straipsnio 2 ir 3 dalimis, </w:t>
      </w:r>
      <w:r>
        <w:rPr>
          <w:iCs/>
          <w:color w:val="000000"/>
          <w:szCs w:val="24"/>
          <w:lang w:eastAsia="lt-LT"/>
        </w:rPr>
        <w:t>43</w:t>
      </w:r>
      <w:r>
        <w:rPr>
          <w:szCs w:val="24"/>
          <w:lang w:eastAsia="lt-LT"/>
        </w:rPr>
        <w:t xml:space="preserve"> st</w:t>
      </w:r>
      <w:r>
        <w:rPr>
          <w:szCs w:val="24"/>
          <w:lang w:eastAsia="lt-LT"/>
        </w:rPr>
        <w:t xml:space="preserve">raipsnio 2 dalimi, 61 straipsnio 1 dalies 2 punktu ir 66 straipsnio 2 dalimi,  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a:“.</w:t>
      </w:r>
    </w:p>
    <w:p w14:paraId="1225A227" w14:textId="77777777" w:rsidR="001F7F74" w:rsidRDefault="00252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preambulę ir ją išdėstyti taip:</w:t>
      </w:r>
    </w:p>
    <w:p w14:paraId="1225A228" w14:textId="77777777" w:rsidR="001F7F74" w:rsidRDefault="00252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„Vadovaudamasi Lietuvos Respublikos </w:t>
      </w:r>
      <w:r>
        <w:rPr>
          <w:iCs/>
          <w:color w:val="000000"/>
          <w:szCs w:val="24"/>
          <w:lang w:eastAsia="lt-LT"/>
        </w:rPr>
        <w:t>akcizų įstatymo</w:t>
      </w:r>
      <w:r>
        <w:rPr>
          <w:szCs w:val="24"/>
          <w:lang w:eastAsia="lt-LT"/>
        </w:rPr>
        <w:t xml:space="preserve"> </w:t>
      </w:r>
      <w:r>
        <w:rPr>
          <w:iCs/>
          <w:color w:val="000000"/>
          <w:szCs w:val="24"/>
          <w:lang w:eastAsia="lt-LT"/>
        </w:rPr>
        <w:t>4</w:t>
      </w:r>
      <w:r>
        <w:rPr>
          <w:szCs w:val="24"/>
          <w:lang w:eastAsia="lt-LT"/>
        </w:rPr>
        <w:t xml:space="preserve"> straipsnio 4 dalimi, </w:t>
      </w:r>
      <w:r>
        <w:rPr>
          <w:iCs/>
          <w:color w:val="000000"/>
          <w:szCs w:val="24"/>
          <w:lang w:eastAsia="lt-LT"/>
        </w:rPr>
        <w:t>6</w:t>
      </w:r>
      <w:r>
        <w:rPr>
          <w:szCs w:val="24"/>
          <w:lang w:eastAsia="lt-LT"/>
        </w:rPr>
        <w:t> str</w:t>
      </w:r>
      <w:r>
        <w:rPr>
          <w:szCs w:val="24"/>
          <w:lang w:eastAsia="lt-LT"/>
        </w:rPr>
        <w:t xml:space="preserve">aipsnio 1 dalimi, </w:t>
      </w:r>
      <w:r>
        <w:rPr>
          <w:iCs/>
          <w:color w:val="000000"/>
          <w:szCs w:val="24"/>
          <w:lang w:eastAsia="lt-LT"/>
        </w:rPr>
        <w:t>7</w:t>
      </w:r>
      <w:r>
        <w:rPr>
          <w:szCs w:val="24"/>
          <w:lang w:eastAsia="lt-LT"/>
        </w:rPr>
        <w:t xml:space="preserve"> straipsnio 2 dalimi, </w:t>
      </w:r>
      <w:r>
        <w:rPr>
          <w:iCs/>
          <w:color w:val="000000"/>
          <w:szCs w:val="24"/>
          <w:lang w:eastAsia="lt-LT"/>
        </w:rPr>
        <w:t>8</w:t>
      </w:r>
      <w:r>
        <w:rPr>
          <w:szCs w:val="24"/>
          <w:lang w:eastAsia="lt-LT"/>
        </w:rPr>
        <w:t xml:space="preserve"> straipsnio 2 dalimi, </w:t>
      </w:r>
      <w:r>
        <w:rPr>
          <w:iCs/>
          <w:color w:val="000000"/>
          <w:szCs w:val="24"/>
          <w:lang w:eastAsia="lt-LT"/>
        </w:rPr>
        <w:t>9</w:t>
      </w:r>
      <w:r>
        <w:rPr>
          <w:szCs w:val="24"/>
          <w:lang w:eastAsia="lt-LT"/>
        </w:rPr>
        <w:t xml:space="preserve"> straipsnio 1 dalies 2 punktu, </w:t>
      </w:r>
      <w:r>
        <w:rPr>
          <w:iCs/>
          <w:color w:val="000000"/>
          <w:szCs w:val="24"/>
          <w:lang w:eastAsia="lt-LT"/>
        </w:rPr>
        <w:t>16</w:t>
      </w:r>
      <w:r>
        <w:rPr>
          <w:szCs w:val="24"/>
          <w:lang w:eastAsia="lt-LT"/>
        </w:rPr>
        <w:t xml:space="preserve"> straipsnio 5 dalies 2 punktu ir 7 dalimi, </w:t>
      </w:r>
      <w:r>
        <w:rPr>
          <w:iCs/>
          <w:color w:val="000000"/>
          <w:szCs w:val="24"/>
          <w:lang w:eastAsia="lt-LT"/>
        </w:rPr>
        <w:t>18</w:t>
      </w:r>
      <w:r>
        <w:rPr>
          <w:szCs w:val="24"/>
          <w:lang w:eastAsia="lt-LT"/>
        </w:rPr>
        <w:t xml:space="preserve"> straipsnio 2 ir 3 dalimis, </w:t>
      </w:r>
      <w:r>
        <w:rPr>
          <w:iCs/>
          <w:color w:val="000000"/>
          <w:szCs w:val="24"/>
          <w:lang w:eastAsia="lt-LT"/>
        </w:rPr>
        <w:t>43</w:t>
      </w:r>
      <w:r>
        <w:rPr>
          <w:szCs w:val="24"/>
          <w:lang w:eastAsia="lt-LT"/>
        </w:rPr>
        <w:t xml:space="preserve"> straipsnio 2 dalimi, 61 straipsnio 1 dalies 2 punktu, 66 straipsnio 2 dalimi ir 70</w:t>
      </w:r>
      <w:r>
        <w:rPr>
          <w:szCs w:val="24"/>
          <w:lang w:eastAsia="lt-LT"/>
        </w:rPr>
        <w:t xml:space="preserve"> straipsnio 1 dalies 5 punktu, 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a:“.</w:t>
      </w:r>
    </w:p>
    <w:p w14:paraId="1225A22D" w14:textId="6C95BA98" w:rsidR="001F7F74" w:rsidRDefault="00252443" w:rsidP="00252443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Šio nutarimo 1.2 papunktis įsigalioja 2019 m. lapkričio 1 d. </w:t>
      </w:r>
    </w:p>
    <w:p w14:paraId="019479B6" w14:textId="77777777" w:rsidR="00252443" w:rsidRDefault="00252443">
      <w:pPr>
        <w:tabs>
          <w:tab w:val="center" w:pos="-7800"/>
          <w:tab w:val="left" w:pos="6237"/>
          <w:tab w:val="right" w:pos="8306"/>
        </w:tabs>
      </w:pPr>
    </w:p>
    <w:p w14:paraId="07B563D9" w14:textId="77777777" w:rsidR="00252443" w:rsidRDefault="00252443">
      <w:pPr>
        <w:tabs>
          <w:tab w:val="center" w:pos="-7800"/>
          <w:tab w:val="left" w:pos="6237"/>
          <w:tab w:val="right" w:pos="8306"/>
        </w:tabs>
      </w:pPr>
    </w:p>
    <w:p w14:paraId="54C42365" w14:textId="77777777" w:rsidR="00252443" w:rsidRDefault="00252443">
      <w:pPr>
        <w:tabs>
          <w:tab w:val="center" w:pos="-7800"/>
          <w:tab w:val="left" w:pos="6237"/>
          <w:tab w:val="right" w:pos="8306"/>
        </w:tabs>
      </w:pPr>
    </w:p>
    <w:p w14:paraId="1225A22E" w14:textId="380DE275" w:rsidR="001F7F74" w:rsidRDefault="0025244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225A22F" w14:textId="77777777" w:rsidR="001F7F74" w:rsidRDefault="001F7F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225A230" w14:textId="77777777" w:rsidR="001F7F74" w:rsidRDefault="001F7F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225A231" w14:textId="77777777" w:rsidR="001F7F74" w:rsidRDefault="001F7F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225A232" w14:textId="77777777" w:rsidR="001F7F74" w:rsidRDefault="0025244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1F7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A237" w14:textId="77777777" w:rsidR="001F7F74" w:rsidRDefault="0025244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225A238" w14:textId="77777777" w:rsidR="001F7F74" w:rsidRDefault="0025244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A23D" w14:textId="77777777" w:rsidR="001F7F74" w:rsidRDefault="001F7F7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A23E" w14:textId="77777777" w:rsidR="001F7F74" w:rsidRDefault="001F7F7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A240" w14:textId="77777777" w:rsidR="001F7F74" w:rsidRDefault="001F7F7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5A235" w14:textId="77777777" w:rsidR="001F7F74" w:rsidRDefault="0025244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225A236" w14:textId="77777777" w:rsidR="001F7F74" w:rsidRDefault="0025244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A239" w14:textId="77777777" w:rsidR="001F7F74" w:rsidRDefault="0025244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225A23A" w14:textId="77777777" w:rsidR="001F7F74" w:rsidRDefault="001F7F74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A23B" w14:textId="77777777" w:rsidR="001F7F74" w:rsidRDefault="0025244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225A23C" w14:textId="77777777" w:rsidR="001F7F74" w:rsidRDefault="001F7F74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A23F" w14:textId="77777777" w:rsidR="001F7F74" w:rsidRDefault="001F7F74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26"/>
    <w:rsid w:val="001F7F74"/>
    <w:rsid w:val="00252443"/>
    <w:rsid w:val="00B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25A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1439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2019-09-23T05:47:00Z</dcterms:created>
  <dc:creator>Jolanta Poškevičienė</dc:creator>
  <lastModifiedBy>ŠAULYTĖ SKAIRIENĖ Dalia</lastModifiedBy>
  <lastPrinted>2017-06-01T05:28:00Z</lastPrinted>
  <dcterms:modified xsi:type="dcterms:W3CDTF">2019-09-23T06:26:00Z</dcterms:modified>
  <revision>3</revision>
</coreProperties>
</file>