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D5064" w14:textId="77777777" w:rsidR="00A12940" w:rsidRDefault="00A12940">
      <w:pPr>
        <w:tabs>
          <w:tab w:val="center" w:pos="4153"/>
          <w:tab w:val="right" w:pos="8306"/>
        </w:tabs>
        <w:rPr>
          <w:rFonts w:ascii="TimesLT" w:hAnsi="TimesLT"/>
          <w:lang w:val="en-US"/>
        </w:rPr>
      </w:pPr>
    </w:p>
    <w:p w14:paraId="7D1D5065" w14:textId="77777777" w:rsidR="00A12940" w:rsidRDefault="00A2198D">
      <w:pPr>
        <w:jc w:val="center"/>
        <w:rPr>
          <w:caps/>
          <w:sz w:val="22"/>
        </w:rPr>
      </w:pPr>
      <w:r>
        <w:rPr>
          <w:caps/>
          <w:noProof/>
          <w:lang w:eastAsia="lt-LT"/>
        </w:rPr>
        <w:drawing>
          <wp:inline distT="0" distB="0" distL="0" distR="0" wp14:anchorId="7D1D50AF" wp14:editId="7D1D50B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D1D5066" w14:textId="77777777" w:rsidR="00A12940" w:rsidRDefault="00A12940">
      <w:pPr>
        <w:jc w:val="center"/>
        <w:rPr>
          <w:caps/>
        </w:rPr>
      </w:pPr>
    </w:p>
    <w:p w14:paraId="7D1D5067" w14:textId="77777777" w:rsidR="00A12940" w:rsidRDefault="00A2198D">
      <w:pPr>
        <w:jc w:val="center"/>
        <w:rPr>
          <w:b/>
          <w:bCs/>
          <w:caps/>
        </w:rPr>
      </w:pPr>
      <w:r>
        <w:rPr>
          <w:b/>
          <w:bCs/>
          <w:caps/>
        </w:rPr>
        <w:t>LIETUVOS RESPUBLIKOS</w:t>
      </w:r>
    </w:p>
    <w:p w14:paraId="7D1D5068" w14:textId="77777777" w:rsidR="00A12940" w:rsidRDefault="00A2198D">
      <w:pPr>
        <w:jc w:val="center"/>
        <w:rPr>
          <w:caps/>
        </w:rPr>
      </w:pPr>
      <w:r>
        <w:rPr>
          <w:b/>
          <w:caps/>
        </w:rPr>
        <w:t>CIVILINĮ PROCESĄ REGLAMENTUOJANČIŲ EUROPOS SĄJUNGOS IR TARPTAUTINĖS TEISĖS AKTŲ ĮGYVENDINIMO ĮSTATYMO Nr. X-1809 KETVIRTOJO SKIRSNIO PAVADINIMO, 4, 15 STRAIPSNIŲ IR PRIEDO PAKEITIMO IR ĮSTATYMO PAPILDYMO KETVIRTUOJU</w:t>
      </w:r>
      <w:r>
        <w:rPr>
          <w:b/>
          <w:caps/>
          <w:vertAlign w:val="superscript"/>
        </w:rPr>
        <w:t>1</w:t>
      </w:r>
      <w:r>
        <w:rPr>
          <w:b/>
          <w:caps/>
        </w:rPr>
        <w:t xml:space="preserve">  IR DEVINTUOJU</w:t>
      </w:r>
      <w:r>
        <w:rPr>
          <w:b/>
          <w:caps/>
          <w:vertAlign w:val="superscript"/>
        </w:rPr>
        <w:t>3</w:t>
      </w:r>
      <w:r>
        <w:rPr>
          <w:b/>
          <w:caps/>
        </w:rPr>
        <w:t xml:space="preserve"> SKIRSNIAIS</w:t>
      </w:r>
    </w:p>
    <w:p w14:paraId="7D1D5069" w14:textId="77777777" w:rsidR="00A12940" w:rsidRDefault="00A2198D">
      <w:pPr>
        <w:jc w:val="center"/>
        <w:rPr>
          <w:b/>
          <w:caps/>
          <w:spacing w:val="20"/>
          <w:sz w:val="32"/>
        </w:rPr>
      </w:pPr>
      <w:r>
        <w:rPr>
          <w:b/>
          <w:caps/>
          <w:spacing w:val="20"/>
        </w:rPr>
        <w:t>ĮSTATYMAS</w:t>
      </w:r>
    </w:p>
    <w:p w14:paraId="7D1D506A" w14:textId="77777777" w:rsidR="00A12940" w:rsidRDefault="00A12940">
      <w:pPr>
        <w:jc w:val="center"/>
        <w:rPr>
          <w:b/>
          <w:caps/>
        </w:rPr>
      </w:pPr>
    </w:p>
    <w:p w14:paraId="5709A53E" w14:textId="77777777" w:rsidR="00A2198D" w:rsidRDefault="00A2198D">
      <w:pPr>
        <w:jc w:val="center"/>
        <w:rPr>
          <w:sz w:val="22"/>
        </w:rPr>
      </w:pPr>
      <w:r>
        <w:rPr>
          <w:sz w:val="22"/>
        </w:rPr>
        <w:t>2014 m. gegužės 15 d. Nr. XII-890</w:t>
      </w:r>
    </w:p>
    <w:p w14:paraId="7D1D506B" w14:textId="28152972" w:rsidR="00A12940" w:rsidRDefault="00A2198D">
      <w:pPr>
        <w:jc w:val="center"/>
        <w:rPr>
          <w:b/>
          <w:sz w:val="22"/>
        </w:rPr>
      </w:pPr>
      <w:r>
        <w:rPr>
          <w:sz w:val="22"/>
        </w:rPr>
        <w:t>Vilnius</w:t>
      </w:r>
    </w:p>
    <w:p w14:paraId="7D1D506C" w14:textId="77777777" w:rsidR="00A12940" w:rsidRPr="00A2198D" w:rsidRDefault="00A12940">
      <w:pPr>
        <w:rPr>
          <w:szCs w:val="24"/>
        </w:rPr>
      </w:pPr>
    </w:p>
    <w:p w14:paraId="7D1D506E" w14:textId="77777777" w:rsidR="00A12940" w:rsidRDefault="00A12940">
      <w:pPr>
        <w:tabs>
          <w:tab w:val="center" w:pos="4153"/>
          <w:tab w:val="right" w:pos="8306"/>
        </w:tabs>
        <w:rPr>
          <w:rFonts w:ascii="TimesLT" w:hAnsi="TimesLT"/>
          <w:lang w:val="en-US"/>
        </w:rPr>
      </w:pPr>
    </w:p>
    <w:p w14:paraId="7D1D506F" w14:textId="77777777" w:rsidR="00A12940" w:rsidRDefault="007B29FF">
      <w:pPr>
        <w:spacing w:line="360" w:lineRule="auto"/>
        <w:ind w:firstLine="720"/>
        <w:jc w:val="both"/>
        <w:rPr>
          <w:b/>
          <w:color w:val="000000"/>
          <w:szCs w:val="24"/>
        </w:rPr>
      </w:pPr>
      <w:r w:rsidR="00A2198D">
        <w:rPr>
          <w:b/>
          <w:color w:val="000000"/>
          <w:szCs w:val="24"/>
        </w:rPr>
        <w:t>1</w:t>
      </w:r>
      <w:r w:rsidR="00A2198D">
        <w:rPr>
          <w:b/>
          <w:color w:val="000000"/>
          <w:szCs w:val="24"/>
        </w:rPr>
        <w:t xml:space="preserve"> straipsnis. </w:t>
      </w:r>
      <w:r w:rsidR="00A2198D">
        <w:rPr>
          <w:b/>
          <w:color w:val="000000"/>
          <w:szCs w:val="24"/>
        </w:rPr>
        <w:t>Ketvirtojo skirsnio pavadinimo pakeitimas</w:t>
      </w:r>
    </w:p>
    <w:p w14:paraId="7D1D5070" w14:textId="77777777" w:rsidR="00A12940" w:rsidRDefault="00A2198D">
      <w:pPr>
        <w:spacing w:line="360" w:lineRule="auto"/>
        <w:ind w:firstLine="720"/>
        <w:jc w:val="both"/>
        <w:rPr>
          <w:color w:val="000000"/>
          <w:szCs w:val="24"/>
        </w:rPr>
      </w:pPr>
      <w:r>
        <w:rPr>
          <w:color w:val="000000"/>
          <w:szCs w:val="24"/>
        </w:rPr>
        <w:t>Pakeisti ketvirtojo skirsnio pavadinimą ir jį išdėstyti taip:</w:t>
      </w:r>
    </w:p>
    <w:p w14:paraId="7D1D5071" w14:textId="77777777" w:rsidR="00A12940" w:rsidRDefault="00A12940">
      <w:pPr>
        <w:spacing w:line="360" w:lineRule="auto"/>
        <w:ind w:firstLine="720"/>
        <w:jc w:val="both"/>
        <w:rPr>
          <w:color w:val="000000"/>
          <w:szCs w:val="24"/>
        </w:rPr>
      </w:pPr>
    </w:p>
    <w:p w14:paraId="7D1D5072" w14:textId="77777777" w:rsidR="00A12940" w:rsidRDefault="00A2198D">
      <w:pPr>
        <w:spacing w:line="360" w:lineRule="auto"/>
        <w:jc w:val="center"/>
        <w:rPr>
          <w:color w:val="000000"/>
          <w:szCs w:val="24"/>
        </w:rPr>
      </w:pPr>
      <w:r>
        <w:rPr>
          <w:color w:val="000000"/>
          <w:szCs w:val="24"/>
        </w:rPr>
        <w:t>„</w:t>
      </w:r>
      <w:r>
        <w:rPr>
          <w:b/>
          <w:color w:val="000000"/>
          <w:szCs w:val="24"/>
        </w:rPr>
        <w:t>KETVIRTASIS</w:t>
      </w:r>
      <w:r>
        <w:rPr>
          <w:b/>
          <w:color w:val="000000"/>
          <w:szCs w:val="24"/>
        </w:rPr>
        <w:t xml:space="preserve"> SKIRSNIS</w:t>
      </w:r>
    </w:p>
    <w:p w14:paraId="7D1D5073" w14:textId="77777777" w:rsidR="00A12940" w:rsidRDefault="00A2198D">
      <w:pPr>
        <w:spacing w:line="360" w:lineRule="auto"/>
        <w:jc w:val="center"/>
        <w:rPr>
          <w:color w:val="000000"/>
          <w:szCs w:val="24"/>
        </w:rPr>
      </w:pPr>
      <w:r>
        <w:rPr>
          <w:b/>
          <w:bCs/>
          <w:color w:val="000000"/>
          <w:szCs w:val="24"/>
        </w:rPr>
        <w:t>EUROPOS SĄJUNGOS VALSTYBIŲ NARIŲ TEISMŲ SPRENDIMŲ PRIPAŽINIMO IR VYKDYMO TVARKA</w:t>
      </w:r>
      <w:r>
        <w:rPr>
          <w:bCs/>
          <w:color w:val="000000"/>
          <w:szCs w:val="24"/>
        </w:rPr>
        <w:t>“.</w:t>
      </w:r>
    </w:p>
    <w:p w14:paraId="7D1D5074" w14:textId="77777777" w:rsidR="00A12940" w:rsidRDefault="007B29FF">
      <w:pPr>
        <w:spacing w:line="360" w:lineRule="auto"/>
        <w:ind w:firstLine="720"/>
        <w:jc w:val="both"/>
        <w:rPr>
          <w:b/>
          <w:color w:val="000000"/>
          <w:szCs w:val="24"/>
        </w:rPr>
      </w:pPr>
    </w:p>
    <w:p w14:paraId="7D1D5075" w14:textId="77777777" w:rsidR="00A12940" w:rsidRDefault="007B29FF">
      <w:pPr>
        <w:tabs>
          <w:tab w:val="left" w:pos="748"/>
        </w:tabs>
        <w:spacing w:line="360" w:lineRule="auto"/>
        <w:ind w:firstLine="720"/>
        <w:jc w:val="both"/>
        <w:rPr>
          <w:b/>
          <w:bCs/>
          <w:szCs w:val="24"/>
          <w:lang w:eastAsia="lt-LT"/>
        </w:rPr>
      </w:pPr>
      <w:r w:rsidR="00A2198D">
        <w:rPr>
          <w:b/>
          <w:bCs/>
          <w:szCs w:val="24"/>
          <w:lang w:eastAsia="lt-LT"/>
        </w:rPr>
        <w:t>2</w:t>
      </w:r>
      <w:r w:rsidR="00A2198D">
        <w:rPr>
          <w:b/>
          <w:bCs/>
          <w:szCs w:val="24"/>
          <w:lang w:eastAsia="lt-LT"/>
        </w:rPr>
        <w:t xml:space="preserve"> straipsnis. </w:t>
      </w:r>
      <w:r w:rsidR="00A2198D">
        <w:rPr>
          <w:b/>
          <w:bCs/>
          <w:szCs w:val="24"/>
          <w:lang w:eastAsia="lt-LT"/>
        </w:rPr>
        <w:t>4 straipsnio pakeitimas</w:t>
      </w:r>
    </w:p>
    <w:p w14:paraId="7D1D5076" w14:textId="77777777" w:rsidR="00A12940" w:rsidRDefault="00A2198D">
      <w:pPr>
        <w:tabs>
          <w:tab w:val="left" w:pos="748"/>
        </w:tabs>
        <w:spacing w:line="360" w:lineRule="auto"/>
        <w:ind w:firstLine="720"/>
        <w:jc w:val="both"/>
        <w:rPr>
          <w:bCs/>
          <w:szCs w:val="24"/>
          <w:lang w:eastAsia="lt-LT"/>
        </w:rPr>
      </w:pPr>
      <w:r>
        <w:rPr>
          <w:bCs/>
          <w:szCs w:val="24"/>
          <w:lang w:eastAsia="lt-LT"/>
        </w:rPr>
        <w:t>Pakeisti 4 straipsnio 1 dalį ir ją išdėstyti taip:</w:t>
      </w:r>
    </w:p>
    <w:p w14:paraId="7D1D5077" w14:textId="77777777" w:rsidR="00A12940" w:rsidRDefault="00A2198D">
      <w:pPr>
        <w:spacing w:line="360" w:lineRule="auto"/>
        <w:ind w:firstLine="720"/>
        <w:jc w:val="both"/>
        <w:rPr>
          <w:szCs w:val="24"/>
          <w:lang w:eastAsia="lt-LT"/>
        </w:rPr>
      </w:pPr>
      <w:r>
        <w:rPr>
          <w:szCs w:val="24"/>
          <w:lang w:eastAsia="lt-LT"/>
        </w:rPr>
        <w:t>„</w:t>
      </w:r>
      <w:r>
        <w:rPr>
          <w:szCs w:val="24"/>
          <w:lang w:eastAsia="lt-LT"/>
        </w:rPr>
        <w:t>1</w:t>
      </w:r>
      <w:r>
        <w:rPr>
          <w:szCs w:val="24"/>
          <w:lang w:eastAsia="lt-LT"/>
        </w:rPr>
        <w:t>. Europos Sąjungos valstybių narių teismų sprendimai ir kiti pagal Europos Sąjungos reglamentus vykdytini dokumentai, kai Europos Sąjungos reglamentuose numatyta šių teismų sprendimų ir kitų vykdytinų dokumentų pripažinimo ir leidimo juos vykdyti procedūrų įgyvendinimo tvarka, Lietuvos Respublikoje pripažįstami ir leidžiama juos vykdyti pagal Europos Sąjungos reglamentų, šio įstatymo ir Lietuvos Respublikos civilinio proceso kodekso nustatytą tvarką. Jeigu Europos Sąjungos reglamentai nenustato Europos Sąjungos valstybių narių teismų sprendimų pripažinimo ir leidimo juos vykdyti procedūrų įgyvendinimo tvarkos, tačiau pagal Europos Sąjungos reglamentus yra reikalaujama šiuos sprendimus pripažinti ir leisti juos vykdyti, šie sprendimai pripažįstami ir leidžiama juos vykdyti pagal Lietuvos Respublikos civilinio proceso kodekso LX skyriaus ketvirtąjį, penktąjį ir šeštąjį skirsnius.“</w:t>
      </w:r>
    </w:p>
    <w:p w14:paraId="7D1D5078" w14:textId="77777777" w:rsidR="00A12940" w:rsidRDefault="007B29FF">
      <w:pPr>
        <w:spacing w:line="360" w:lineRule="auto"/>
        <w:ind w:firstLine="720"/>
        <w:jc w:val="both"/>
        <w:rPr>
          <w:b/>
          <w:color w:val="000000"/>
          <w:szCs w:val="24"/>
        </w:rPr>
      </w:pPr>
    </w:p>
    <w:p w14:paraId="7D1D5079" w14:textId="77777777" w:rsidR="00A12940" w:rsidRDefault="007B29FF">
      <w:pPr>
        <w:spacing w:line="360" w:lineRule="auto"/>
        <w:ind w:firstLine="720"/>
        <w:jc w:val="both"/>
        <w:rPr>
          <w:b/>
          <w:szCs w:val="24"/>
          <w:lang w:eastAsia="lt-LT"/>
        </w:rPr>
      </w:pPr>
      <w:r w:rsidR="00A2198D">
        <w:rPr>
          <w:b/>
          <w:szCs w:val="24"/>
          <w:lang w:eastAsia="lt-LT"/>
        </w:rPr>
        <w:t>3</w:t>
      </w:r>
      <w:r w:rsidR="00A2198D">
        <w:rPr>
          <w:b/>
          <w:szCs w:val="24"/>
          <w:lang w:eastAsia="lt-LT"/>
        </w:rPr>
        <w:t xml:space="preserve"> straipsnis. </w:t>
      </w:r>
      <w:r w:rsidR="00A2198D">
        <w:rPr>
          <w:b/>
          <w:szCs w:val="24"/>
          <w:lang w:eastAsia="lt-LT"/>
        </w:rPr>
        <w:t>Įstatymo papildymas ketvirtuoju</w:t>
      </w:r>
      <w:r w:rsidR="00A2198D">
        <w:rPr>
          <w:b/>
          <w:szCs w:val="24"/>
          <w:vertAlign w:val="superscript"/>
          <w:lang w:eastAsia="lt-LT"/>
        </w:rPr>
        <w:t>1</w:t>
      </w:r>
      <w:r w:rsidR="00A2198D">
        <w:rPr>
          <w:b/>
          <w:szCs w:val="24"/>
          <w:lang w:eastAsia="lt-LT"/>
        </w:rPr>
        <w:t xml:space="preserve"> skirsniu</w:t>
      </w:r>
    </w:p>
    <w:p w14:paraId="7D1D507A" w14:textId="77777777" w:rsidR="00A12940" w:rsidRDefault="00A2198D">
      <w:pPr>
        <w:spacing w:line="360" w:lineRule="auto"/>
        <w:ind w:firstLine="720"/>
        <w:jc w:val="both"/>
        <w:rPr>
          <w:szCs w:val="24"/>
          <w:lang w:eastAsia="lt-LT"/>
        </w:rPr>
      </w:pPr>
      <w:r>
        <w:rPr>
          <w:szCs w:val="24"/>
          <w:lang w:eastAsia="lt-LT"/>
        </w:rPr>
        <w:t>Papildyti Įstatymą ketvirtuoju</w:t>
      </w:r>
      <w:r>
        <w:rPr>
          <w:szCs w:val="24"/>
          <w:vertAlign w:val="superscript"/>
          <w:lang w:eastAsia="lt-LT"/>
        </w:rPr>
        <w:t xml:space="preserve">1 </w:t>
      </w:r>
      <w:r>
        <w:rPr>
          <w:szCs w:val="24"/>
          <w:lang w:eastAsia="lt-LT"/>
        </w:rPr>
        <w:t>skirsniu:</w:t>
      </w:r>
    </w:p>
    <w:p w14:paraId="7D1D507B" w14:textId="77777777" w:rsidR="00A12940" w:rsidRDefault="00A12940">
      <w:pPr>
        <w:spacing w:line="360" w:lineRule="auto"/>
        <w:ind w:firstLine="720"/>
        <w:jc w:val="both"/>
        <w:rPr>
          <w:szCs w:val="24"/>
          <w:lang w:eastAsia="lt-LT"/>
        </w:rPr>
      </w:pPr>
    </w:p>
    <w:p w14:paraId="7D1D507C" w14:textId="77777777" w:rsidR="00A12940" w:rsidRDefault="00A2198D">
      <w:pPr>
        <w:spacing w:line="360" w:lineRule="auto"/>
        <w:jc w:val="center"/>
        <w:rPr>
          <w:b/>
          <w:color w:val="000000"/>
          <w:szCs w:val="24"/>
        </w:rPr>
      </w:pPr>
      <w:r>
        <w:rPr>
          <w:color w:val="000000"/>
          <w:szCs w:val="24"/>
        </w:rPr>
        <w:t>„</w:t>
      </w:r>
      <w:r>
        <w:rPr>
          <w:b/>
          <w:color w:val="000000"/>
          <w:szCs w:val="24"/>
        </w:rPr>
        <w:t>KETVIRTASIS</w:t>
      </w:r>
      <w:r>
        <w:rPr>
          <w:b/>
          <w:color w:val="000000"/>
          <w:szCs w:val="24"/>
          <w:vertAlign w:val="superscript"/>
        </w:rPr>
        <w:t>1</w:t>
      </w:r>
      <w:r>
        <w:rPr>
          <w:b/>
          <w:color w:val="000000"/>
          <w:szCs w:val="24"/>
        </w:rPr>
        <w:t xml:space="preserve"> SKIRSNIS</w:t>
      </w:r>
    </w:p>
    <w:p w14:paraId="7D1D507D" w14:textId="77777777" w:rsidR="00A12940" w:rsidRDefault="007B29FF">
      <w:pPr>
        <w:spacing w:line="360" w:lineRule="auto"/>
        <w:jc w:val="center"/>
        <w:rPr>
          <w:b/>
          <w:bCs/>
          <w:color w:val="000000"/>
          <w:szCs w:val="24"/>
        </w:rPr>
      </w:pPr>
      <w:r w:rsidR="00A2198D">
        <w:rPr>
          <w:b/>
          <w:bCs/>
          <w:color w:val="000000"/>
          <w:szCs w:val="24"/>
        </w:rPr>
        <w:t>2012 M. GRUODŽIO 12 D. EUROPOS PARLAMENTO IR TARYBOS REGLAMENTO (ES) NR. 1215/2012 DĖL JURISDIKCIJOS IR TEISMO SPRENDIMŲ CIVILINĖSE IR KOMERCINĖSE BYLOSE PRIPAŽINIMO IR VYKDYMO (NAUJA REDAKCIJA) ĮGYVENDINIMAS</w:t>
      </w:r>
    </w:p>
    <w:p w14:paraId="7D1D507E" w14:textId="77777777" w:rsidR="00A12940" w:rsidRDefault="00A12940">
      <w:pPr>
        <w:spacing w:line="360" w:lineRule="auto"/>
        <w:ind w:firstLine="720"/>
        <w:jc w:val="center"/>
        <w:rPr>
          <w:b/>
          <w:bCs/>
          <w:color w:val="000000"/>
          <w:szCs w:val="24"/>
        </w:rPr>
      </w:pPr>
    </w:p>
    <w:p w14:paraId="7D1D507F" w14:textId="77777777" w:rsidR="00A12940" w:rsidRDefault="007B29FF">
      <w:pPr>
        <w:spacing w:line="360" w:lineRule="auto"/>
        <w:ind w:left="2268" w:hanging="1548"/>
        <w:jc w:val="both"/>
        <w:rPr>
          <w:b/>
          <w:bCs/>
          <w:szCs w:val="24"/>
          <w:lang w:eastAsia="lt-LT"/>
        </w:rPr>
      </w:pPr>
      <w:r w:rsidR="00A2198D">
        <w:rPr>
          <w:b/>
          <w:bCs/>
          <w:szCs w:val="24"/>
          <w:lang w:eastAsia="lt-LT"/>
        </w:rPr>
        <w:t>4</w:t>
      </w:r>
      <w:r w:rsidR="00A2198D">
        <w:rPr>
          <w:b/>
          <w:bCs/>
          <w:szCs w:val="24"/>
          <w:vertAlign w:val="superscript"/>
          <w:lang w:eastAsia="lt-LT"/>
        </w:rPr>
        <w:t>1</w:t>
      </w:r>
      <w:r w:rsidR="00A2198D">
        <w:rPr>
          <w:b/>
          <w:bCs/>
          <w:szCs w:val="24"/>
          <w:lang w:eastAsia="lt-LT"/>
        </w:rPr>
        <w:t xml:space="preserve"> straipsnis. </w:t>
      </w:r>
      <w:r w:rsidR="00A2198D">
        <w:rPr>
          <w:b/>
          <w:bCs/>
          <w:szCs w:val="24"/>
          <w:lang w:eastAsia="lt-LT"/>
        </w:rPr>
        <w:t>Prašymų priimti sprendimą, kad nėra pagrindų atsisakyti pripažinti teismo sprendimą, nagrinėjimo tvarka</w:t>
      </w:r>
    </w:p>
    <w:p w14:paraId="7D1D5080" w14:textId="77777777" w:rsidR="00A12940" w:rsidRDefault="007B29FF">
      <w:pPr>
        <w:tabs>
          <w:tab w:val="left" w:pos="748"/>
        </w:tabs>
        <w:spacing w:line="360" w:lineRule="auto"/>
        <w:ind w:firstLine="720"/>
        <w:jc w:val="both"/>
        <w:rPr>
          <w:bCs/>
          <w:szCs w:val="24"/>
          <w:lang w:eastAsia="lt-LT"/>
        </w:rPr>
      </w:pPr>
      <w:r w:rsidR="00A2198D">
        <w:rPr>
          <w:bCs/>
          <w:szCs w:val="24"/>
          <w:lang w:eastAsia="lt-LT"/>
        </w:rPr>
        <w:t>1</w:t>
      </w:r>
      <w:r w:rsidR="00A2198D">
        <w:rPr>
          <w:bCs/>
          <w:szCs w:val="24"/>
          <w:lang w:eastAsia="lt-LT"/>
        </w:rPr>
        <w:t xml:space="preserve">. 2012 m. gruodžio 12 d. Europos Parlamento ir Tarybos reglamento (ES) Nr. 1215/2012 dėl jurisdikcijos ir teismo sprendimų civilinėse ir komercinėse bylose pripažinimo ir vykdymo (nauja redakcija) (toliau šiame skirsnyje – Reglamentas (ES) Nr. 1215/2012) 36 straipsnio 2 dalyje nurodytus prašymus priimti sprendimą, kad nėra pagrindų atsisakyti pripažinti teismo sprendimą, nagrinėja Lietuvos apeliacinis teismas. Šie prašymai nagrinėjami </w:t>
      </w:r>
      <w:r w:rsidR="00A2198D">
        <w:rPr>
          <w:bCs/>
          <w:i/>
          <w:szCs w:val="24"/>
          <w:lang w:eastAsia="lt-LT"/>
        </w:rPr>
        <w:t>mutatis mutandis</w:t>
      </w:r>
      <w:r w:rsidR="00A2198D">
        <w:rPr>
          <w:bCs/>
          <w:szCs w:val="24"/>
          <w:lang w:eastAsia="lt-LT"/>
        </w:rPr>
        <w:t xml:space="preserve"> taikant šio įstatymo 4 straipsnio 4, 5 ir 6 dalių nuostatas.</w:t>
      </w:r>
    </w:p>
    <w:p w14:paraId="7D1D5081" w14:textId="77777777" w:rsidR="00A12940" w:rsidRDefault="007B29FF">
      <w:pPr>
        <w:spacing w:line="360" w:lineRule="auto"/>
        <w:ind w:firstLine="720"/>
        <w:jc w:val="both"/>
        <w:rPr>
          <w:color w:val="000000"/>
          <w:szCs w:val="24"/>
        </w:rPr>
      </w:pPr>
      <w:r w:rsidR="00A2198D">
        <w:rPr>
          <w:bCs/>
          <w:szCs w:val="24"/>
          <w:lang w:eastAsia="lt-LT"/>
        </w:rPr>
        <w:t>2</w:t>
      </w:r>
      <w:r w:rsidR="00A2198D">
        <w:rPr>
          <w:bCs/>
          <w:szCs w:val="24"/>
          <w:lang w:eastAsia="lt-LT"/>
        </w:rPr>
        <w:t>. Prašymas peržiūrėti Lietuvos apeliacinio teismo nutartį, priimtą dėl šio straipsnio 1 dalyje nurodyto prašymo, gali būti paduotas per trisdešimt dienų nuo nutarties įteikimo šaliai dienos. Jeigu šalies, kuri turi teisę paduoti prašymą peržiūrėti Lietuvos apeliacinio teismo nutartį, nuolatinė gyvenamoji vieta yra ne Lietuvos Respublikoje, prašymo peržiūrėti Lietuvos apeliacinio teismo nutartį pateikimo terminas yra šešiasdešimt dienų ir jis skaičiuojamas nuo nutarties įteikimo šiai šaliai asmeniškai arba pristatymo į jos gyvenamąją vietą dienos.</w:t>
      </w:r>
    </w:p>
    <w:p w14:paraId="7D1D5082" w14:textId="77777777" w:rsidR="00A12940" w:rsidRDefault="007B29FF">
      <w:pPr>
        <w:tabs>
          <w:tab w:val="left" w:pos="748"/>
        </w:tabs>
        <w:spacing w:line="360" w:lineRule="auto"/>
        <w:ind w:firstLine="720"/>
        <w:jc w:val="both"/>
        <w:rPr>
          <w:bCs/>
          <w:szCs w:val="24"/>
          <w:lang w:eastAsia="lt-LT"/>
        </w:rPr>
      </w:pPr>
    </w:p>
    <w:p w14:paraId="7D1D5083" w14:textId="77777777" w:rsidR="00A12940" w:rsidRDefault="007B29FF">
      <w:pPr>
        <w:spacing w:line="360" w:lineRule="auto"/>
        <w:ind w:left="2268" w:hanging="1548"/>
        <w:jc w:val="both"/>
        <w:rPr>
          <w:b/>
          <w:bCs/>
          <w:szCs w:val="24"/>
          <w:lang w:eastAsia="lt-LT"/>
        </w:rPr>
      </w:pPr>
      <w:r w:rsidR="00A2198D">
        <w:rPr>
          <w:b/>
          <w:szCs w:val="24"/>
          <w:lang w:eastAsia="lt-LT"/>
        </w:rPr>
        <w:t>4</w:t>
      </w:r>
      <w:r w:rsidR="00A2198D">
        <w:rPr>
          <w:b/>
          <w:bCs/>
          <w:szCs w:val="24"/>
          <w:vertAlign w:val="superscript"/>
          <w:lang w:eastAsia="lt-LT"/>
        </w:rPr>
        <w:t>2</w:t>
      </w:r>
      <w:r w:rsidR="00A2198D">
        <w:rPr>
          <w:b/>
          <w:bCs/>
          <w:szCs w:val="24"/>
          <w:lang w:eastAsia="lt-LT"/>
        </w:rPr>
        <w:t xml:space="preserve"> straipsnis. </w:t>
      </w:r>
      <w:r w:rsidR="00A2198D">
        <w:rPr>
          <w:b/>
          <w:bCs/>
          <w:szCs w:val="24"/>
          <w:lang w:eastAsia="lt-LT"/>
        </w:rPr>
        <w:t>Prašymų atsisakyti vykdyti teismo sprendimą nagrinėjimo tvarka</w:t>
      </w:r>
    </w:p>
    <w:p w14:paraId="7D1D5084" w14:textId="77777777" w:rsidR="00A12940" w:rsidRDefault="007B29FF">
      <w:pPr>
        <w:tabs>
          <w:tab w:val="left" w:pos="748"/>
        </w:tabs>
        <w:spacing w:line="360" w:lineRule="auto"/>
        <w:ind w:firstLine="720"/>
        <w:jc w:val="both"/>
        <w:rPr>
          <w:bCs/>
          <w:szCs w:val="24"/>
          <w:lang w:eastAsia="lt-LT"/>
        </w:rPr>
      </w:pPr>
      <w:r w:rsidR="00A2198D">
        <w:rPr>
          <w:bCs/>
          <w:szCs w:val="24"/>
          <w:lang w:eastAsia="lt-LT"/>
        </w:rPr>
        <w:t>1</w:t>
      </w:r>
      <w:r w:rsidR="00A2198D">
        <w:rPr>
          <w:bCs/>
          <w:szCs w:val="24"/>
          <w:lang w:eastAsia="lt-LT"/>
        </w:rPr>
        <w:t xml:space="preserve">. Reglamento (ES) Nr. 1215/2012 47 straipsnio 1 dalyje nurodytus prašymus atsisakyti vykdyti teismo sprendimą nagrinėja Lietuvos apeliacinis teismas. Šie prašymai nagrinėjami </w:t>
      </w:r>
      <w:r w:rsidR="00A2198D">
        <w:rPr>
          <w:bCs/>
          <w:i/>
          <w:szCs w:val="24"/>
          <w:lang w:eastAsia="lt-LT"/>
        </w:rPr>
        <w:t>mutatis mutandis</w:t>
      </w:r>
      <w:r w:rsidR="00A2198D">
        <w:rPr>
          <w:bCs/>
          <w:szCs w:val="24"/>
          <w:lang w:eastAsia="lt-LT"/>
        </w:rPr>
        <w:t xml:space="preserve"> taikant šio įstatymo 4 straipsnio 4, 5 ir 6 dalių nuostatas.</w:t>
      </w:r>
    </w:p>
    <w:p w14:paraId="7D1D5085" w14:textId="77777777" w:rsidR="00A12940" w:rsidRDefault="007B29FF">
      <w:pPr>
        <w:tabs>
          <w:tab w:val="left" w:pos="748"/>
        </w:tabs>
        <w:spacing w:line="360" w:lineRule="auto"/>
        <w:ind w:firstLine="720"/>
        <w:jc w:val="both"/>
        <w:rPr>
          <w:bCs/>
          <w:szCs w:val="24"/>
          <w:lang w:eastAsia="lt-LT"/>
        </w:rPr>
      </w:pPr>
      <w:r w:rsidR="00A2198D">
        <w:rPr>
          <w:bCs/>
          <w:szCs w:val="24"/>
          <w:lang w:eastAsia="lt-LT"/>
        </w:rPr>
        <w:t>2</w:t>
      </w:r>
      <w:r w:rsidR="00A2198D">
        <w:rPr>
          <w:bCs/>
          <w:szCs w:val="24"/>
          <w:lang w:eastAsia="lt-LT"/>
        </w:rPr>
        <w:t xml:space="preserve">. Reglamento (ES) Nr. 1215/2012 49 straipsnio 2 dalyje nurodytas apeliacinis skundas dėl Lietuvos apeliacinio teismo nutarties, priimtos dėl šio straipsnio 1 dalyje nurodyto prašymo atsisakyti vykdyti teismo sprendimą, gali būti paduotas per trisdešimt dienų nuo nutarties įteikimo šaliai dienos. Jeigu šalies, kuri turi teisę paduoti Reglamento </w:t>
      </w:r>
      <w:r w:rsidR="00A2198D">
        <w:rPr>
          <w:bCs/>
          <w:szCs w:val="24"/>
          <w:lang w:eastAsia="lt-LT"/>
        </w:rPr>
        <w:lastRenderedPageBreak/>
        <w:t>(ES) Nr. 1215/2012 49 straipsnio 2 dalyje nurodytą skundą, nuolatinė gyvenamoji vieta yra ne Lietuvos Respublikoje, apeliacinio skundo padavimo terminas yra šešiasdešimt dienų ir jis skaičiuojamas nuo nutarties įteikimo šiai šaliai asmeniškai arba pristatymo į jos gyvenamąją vietą dienos.</w:t>
      </w:r>
    </w:p>
    <w:p w14:paraId="7D1D5086" w14:textId="77777777" w:rsidR="00A12940" w:rsidRDefault="007B29FF">
      <w:pPr>
        <w:tabs>
          <w:tab w:val="left" w:pos="748"/>
        </w:tabs>
        <w:spacing w:line="360" w:lineRule="auto"/>
        <w:ind w:firstLine="720"/>
        <w:jc w:val="both"/>
        <w:rPr>
          <w:bCs/>
          <w:szCs w:val="24"/>
          <w:lang w:eastAsia="lt-LT"/>
        </w:rPr>
      </w:pPr>
    </w:p>
    <w:p w14:paraId="7D1D5087" w14:textId="77777777" w:rsidR="00A12940" w:rsidRDefault="007B29FF">
      <w:pPr>
        <w:spacing w:line="360" w:lineRule="auto"/>
        <w:ind w:left="2268" w:hanging="1548"/>
        <w:jc w:val="both"/>
        <w:rPr>
          <w:b/>
          <w:bCs/>
          <w:szCs w:val="24"/>
          <w:lang w:eastAsia="lt-LT"/>
        </w:rPr>
      </w:pPr>
      <w:r w:rsidR="00A2198D">
        <w:rPr>
          <w:b/>
          <w:bCs/>
          <w:szCs w:val="24"/>
          <w:lang w:eastAsia="lt-LT"/>
        </w:rPr>
        <w:t>4</w:t>
      </w:r>
      <w:r w:rsidR="00A2198D">
        <w:rPr>
          <w:b/>
          <w:bCs/>
          <w:szCs w:val="24"/>
          <w:vertAlign w:val="superscript"/>
          <w:lang w:eastAsia="lt-LT"/>
        </w:rPr>
        <w:t>3</w:t>
      </w:r>
      <w:r w:rsidR="00A2198D">
        <w:rPr>
          <w:b/>
          <w:bCs/>
          <w:szCs w:val="24"/>
          <w:lang w:eastAsia="lt-LT"/>
        </w:rPr>
        <w:t xml:space="preserve"> straipsnis. </w:t>
      </w:r>
      <w:r w:rsidR="00A2198D">
        <w:rPr>
          <w:b/>
          <w:bCs/>
          <w:szCs w:val="24"/>
          <w:lang w:eastAsia="lt-LT"/>
        </w:rPr>
        <w:t>Reglamento (ES) Nr. 1215/2012 54 straipsnyje numatytos priemonės arba įsakymo prilyginimo tvarka</w:t>
      </w:r>
    </w:p>
    <w:p w14:paraId="7D1D5088" w14:textId="77777777" w:rsidR="00A12940" w:rsidRDefault="007B29FF">
      <w:pPr>
        <w:tabs>
          <w:tab w:val="left" w:pos="748"/>
        </w:tabs>
        <w:spacing w:line="360" w:lineRule="auto"/>
        <w:ind w:firstLine="720"/>
        <w:jc w:val="both"/>
        <w:rPr>
          <w:bCs/>
          <w:szCs w:val="24"/>
          <w:lang w:eastAsia="lt-LT"/>
        </w:rPr>
      </w:pPr>
      <w:r w:rsidR="00A2198D">
        <w:rPr>
          <w:bCs/>
          <w:szCs w:val="24"/>
          <w:lang w:eastAsia="lt-LT"/>
        </w:rPr>
        <w:t>1</w:t>
      </w:r>
      <w:r w:rsidR="00A2198D">
        <w:rPr>
          <w:bCs/>
          <w:szCs w:val="24"/>
          <w:lang w:eastAsia="lt-LT"/>
        </w:rPr>
        <w:t>. Vadovaujantis Reglamento (ES) Nr. 1215/2012 54 straipsnio 1 dalimi, teismo sprendime numatytą priemonę ar įsakymą prilygina subjektas, kuris turi pripažinti ar vykdyti teismo sprendimą.</w:t>
      </w:r>
    </w:p>
    <w:p w14:paraId="7D1D5089" w14:textId="77777777" w:rsidR="00A12940" w:rsidRDefault="007B29FF">
      <w:pPr>
        <w:tabs>
          <w:tab w:val="left" w:pos="748"/>
        </w:tabs>
        <w:spacing w:line="360" w:lineRule="auto"/>
        <w:ind w:firstLine="720"/>
        <w:jc w:val="both"/>
        <w:rPr>
          <w:bCs/>
          <w:szCs w:val="24"/>
          <w:lang w:eastAsia="lt-LT"/>
        </w:rPr>
      </w:pPr>
      <w:r w:rsidR="00A2198D">
        <w:rPr>
          <w:bCs/>
          <w:szCs w:val="24"/>
          <w:lang w:eastAsia="lt-LT"/>
        </w:rPr>
        <w:t>2</w:t>
      </w:r>
      <w:r w:rsidR="00A2198D">
        <w:rPr>
          <w:bCs/>
          <w:szCs w:val="24"/>
          <w:lang w:eastAsia="lt-LT"/>
        </w:rPr>
        <w:t>. Priemonės arba įsakymo prilyginimas gali būti užginčijamas teisme Lietuvos Respublikos įstatymų nustatyta tvarka.“</w:t>
      </w:r>
    </w:p>
    <w:p w14:paraId="7D1D508A" w14:textId="77777777" w:rsidR="00A12940" w:rsidRDefault="007B29FF">
      <w:pPr>
        <w:tabs>
          <w:tab w:val="left" w:pos="748"/>
        </w:tabs>
        <w:spacing w:line="360" w:lineRule="auto"/>
        <w:ind w:firstLine="720"/>
        <w:jc w:val="both"/>
        <w:rPr>
          <w:bCs/>
          <w:szCs w:val="24"/>
          <w:lang w:eastAsia="lt-LT"/>
        </w:rPr>
      </w:pPr>
    </w:p>
    <w:p w14:paraId="7D1D508B" w14:textId="77777777" w:rsidR="00A12940" w:rsidRDefault="007B29FF">
      <w:pPr>
        <w:tabs>
          <w:tab w:val="left" w:pos="748"/>
        </w:tabs>
        <w:spacing w:line="360" w:lineRule="auto"/>
        <w:ind w:firstLine="720"/>
        <w:jc w:val="both"/>
        <w:rPr>
          <w:b/>
          <w:bCs/>
          <w:szCs w:val="24"/>
          <w:lang w:eastAsia="lt-LT"/>
        </w:rPr>
      </w:pPr>
      <w:r w:rsidR="00A2198D">
        <w:rPr>
          <w:b/>
          <w:bCs/>
          <w:szCs w:val="24"/>
          <w:lang w:eastAsia="lt-LT"/>
        </w:rPr>
        <w:t>4</w:t>
      </w:r>
      <w:r w:rsidR="00A2198D">
        <w:rPr>
          <w:b/>
          <w:bCs/>
          <w:szCs w:val="24"/>
          <w:lang w:eastAsia="lt-LT"/>
        </w:rPr>
        <w:t xml:space="preserve"> straipsnis. </w:t>
      </w:r>
      <w:r w:rsidR="00A2198D">
        <w:rPr>
          <w:b/>
          <w:bCs/>
          <w:szCs w:val="24"/>
          <w:lang w:eastAsia="lt-LT"/>
        </w:rPr>
        <w:t>15 straipsnio pakeitimas</w:t>
      </w:r>
    </w:p>
    <w:p w14:paraId="7D1D508C" w14:textId="77777777" w:rsidR="00A12940" w:rsidRDefault="00A2198D">
      <w:pPr>
        <w:tabs>
          <w:tab w:val="left" w:pos="748"/>
        </w:tabs>
        <w:spacing w:line="360" w:lineRule="auto"/>
        <w:ind w:firstLine="720"/>
        <w:jc w:val="both"/>
        <w:rPr>
          <w:bCs/>
          <w:szCs w:val="24"/>
          <w:lang w:eastAsia="lt-LT"/>
        </w:rPr>
      </w:pPr>
      <w:r>
        <w:rPr>
          <w:bCs/>
          <w:szCs w:val="24"/>
          <w:lang w:eastAsia="lt-LT"/>
        </w:rPr>
        <w:t>Pakeisti 15 straipsnio 1 dalį ir ją išdėstyti taip:</w:t>
      </w:r>
    </w:p>
    <w:p w14:paraId="7D1D508D" w14:textId="77777777" w:rsidR="00A12940" w:rsidRDefault="00A2198D">
      <w:pPr>
        <w:tabs>
          <w:tab w:val="left" w:pos="748"/>
        </w:tabs>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xml:space="preserve">. Autentiški dokumentai yra notaro užprotestuoti ar neprotestuotini vekseliai, čekiai, hipotekos (įkeitimo) sandoriai, kuriuose padaryti notaro vykdomieji įrašai.“ </w:t>
      </w:r>
    </w:p>
    <w:p w14:paraId="7D1D508E" w14:textId="77777777" w:rsidR="00A12940" w:rsidRDefault="007B29FF">
      <w:pPr>
        <w:tabs>
          <w:tab w:val="left" w:pos="748"/>
        </w:tabs>
        <w:spacing w:line="360" w:lineRule="auto"/>
        <w:ind w:firstLine="720"/>
        <w:jc w:val="both"/>
        <w:rPr>
          <w:bCs/>
          <w:szCs w:val="24"/>
          <w:lang w:eastAsia="lt-LT"/>
        </w:rPr>
      </w:pPr>
    </w:p>
    <w:p w14:paraId="7D1D508F" w14:textId="77777777" w:rsidR="00A12940" w:rsidRDefault="007B29FF">
      <w:pPr>
        <w:spacing w:line="360" w:lineRule="auto"/>
        <w:ind w:firstLine="720"/>
        <w:jc w:val="both"/>
        <w:rPr>
          <w:b/>
          <w:color w:val="000000"/>
          <w:szCs w:val="24"/>
        </w:rPr>
      </w:pPr>
      <w:r w:rsidR="00A2198D">
        <w:rPr>
          <w:b/>
          <w:color w:val="000000"/>
          <w:szCs w:val="24"/>
        </w:rPr>
        <w:t>5</w:t>
      </w:r>
      <w:r w:rsidR="00A2198D">
        <w:rPr>
          <w:b/>
          <w:color w:val="000000"/>
          <w:szCs w:val="24"/>
        </w:rPr>
        <w:t xml:space="preserve"> straipsnis. </w:t>
      </w:r>
      <w:r w:rsidR="00A2198D">
        <w:rPr>
          <w:b/>
          <w:color w:val="000000"/>
          <w:szCs w:val="24"/>
        </w:rPr>
        <w:t>Įstatymo papildymas devintuoju</w:t>
      </w:r>
      <w:r w:rsidR="00A2198D">
        <w:rPr>
          <w:b/>
          <w:color w:val="000000"/>
          <w:szCs w:val="24"/>
          <w:vertAlign w:val="superscript"/>
        </w:rPr>
        <w:t>3</w:t>
      </w:r>
      <w:r w:rsidR="00A2198D">
        <w:rPr>
          <w:b/>
          <w:color w:val="000000"/>
          <w:szCs w:val="24"/>
        </w:rPr>
        <w:t xml:space="preserve"> skirsniu</w:t>
      </w:r>
    </w:p>
    <w:p w14:paraId="7D1D5090" w14:textId="77777777" w:rsidR="00A12940" w:rsidRDefault="00A2198D">
      <w:pPr>
        <w:spacing w:line="360" w:lineRule="auto"/>
        <w:ind w:firstLine="720"/>
        <w:jc w:val="both"/>
        <w:rPr>
          <w:szCs w:val="24"/>
          <w:lang w:eastAsia="lt-LT"/>
        </w:rPr>
      </w:pPr>
      <w:r>
        <w:rPr>
          <w:szCs w:val="24"/>
          <w:lang w:eastAsia="lt-LT"/>
        </w:rPr>
        <w:t>Papildyti Įstatymą devintuoju</w:t>
      </w:r>
      <w:r>
        <w:rPr>
          <w:szCs w:val="24"/>
          <w:vertAlign w:val="superscript"/>
          <w:lang w:eastAsia="lt-LT"/>
        </w:rPr>
        <w:t>3</w:t>
      </w:r>
      <w:r>
        <w:rPr>
          <w:szCs w:val="24"/>
          <w:lang w:eastAsia="lt-LT"/>
        </w:rPr>
        <w:t xml:space="preserve"> skirsniu:</w:t>
      </w:r>
    </w:p>
    <w:p w14:paraId="7D1D5091" w14:textId="77777777" w:rsidR="00A12940" w:rsidRDefault="00A12940">
      <w:pPr>
        <w:spacing w:line="360" w:lineRule="auto"/>
        <w:ind w:firstLine="720"/>
        <w:jc w:val="both"/>
        <w:rPr>
          <w:szCs w:val="24"/>
          <w:lang w:eastAsia="lt-LT"/>
        </w:rPr>
      </w:pPr>
    </w:p>
    <w:p w14:paraId="7D1D5092" w14:textId="77777777" w:rsidR="00A12940" w:rsidRDefault="00A2198D">
      <w:pPr>
        <w:spacing w:line="360" w:lineRule="auto"/>
        <w:jc w:val="center"/>
        <w:rPr>
          <w:b/>
          <w:szCs w:val="24"/>
          <w:lang w:eastAsia="lt-LT"/>
        </w:rPr>
      </w:pPr>
      <w:r>
        <w:rPr>
          <w:bCs/>
          <w:szCs w:val="24"/>
          <w:lang w:eastAsia="lt-LT"/>
        </w:rPr>
        <w:t>„</w:t>
      </w:r>
      <w:r>
        <w:rPr>
          <w:b/>
          <w:szCs w:val="24"/>
          <w:lang w:eastAsia="lt-LT"/>
        </w:rPr>
        <w:t>DEVINTASIS</w:t>
      </w:r>
      <w:r>
        <w:rPr>
          <w:b/>
          <w:szCs w:val="24"/>
          <w:vertAlign w:val="superscript"/>
          <w:lang w:eastAsia="lt-LT"/>
        </w:rPr>
        <w:t>3</w:t>
      </w:r>
      <w:r>
        <w:rPr>
          <w:b/>
          <w:szCs w:val="24"/>
          <w:lang w:eastAsia="lt-LT"/>
        </w:rPr>
        <w:t xml:space="preserve"> SKIRSNIS</w:t>
      </w:r>
    </w:p>
    <w:p w14:paraId="7D1D5093" w14:textId="77777777" w:rsidR="00A12940" w:rsidRDefault="007B29FF">
      <w:pPr>
        <w:spacing w:line="360" w:lineRule="auto"/>
        <w:jc w:val="center"/>
        <w:rPr>
          <w:b/>
          <w:szCs w:val="24"/>
          <w:lang w:eastAsia="lt-LT"/>
        </w:rPr>
      </w:pPr>
      <w:r w:rsidR="00A2198D">
        <w:rPr>
          <w:b/>
          <w:szCs w:val="24"/>
        </w:rPr>
        <w:t>2012 M. LIEPOS 4 D. EUROPOS PARLAMENTO IR TARYBOS REGLAMENTO (ES) NR. 650/2012 DĖL JURISDIKCIJOS, TAIKYTINOS TEISĖS, TEISMO SPRENDIMŲ PAVELDĖJIMO KLAUSIMAIS PRIPAŽINIMO IR VYKDYMO BEI AUTENTIŠKŲ DOKUMENTŲ PAVELDĖJIMO KLAUSIMAIS PRIĖMIMO IR VYKDYMO BEI DĖL EUROPOS PAVELDĖJIMO PAŽYMĖJIMO SUKŪRIMO ĮGYVENDINIMAS</w:t>
      </w:r>
    </w:p>
    <w:p w14:paraId="7D1D5094" w14:textId="77777777" w:rsidR="00A12940" w:rsidRDefault="00A12940">
      <w:pPr>
        <w:tabs>
          <w:tab w:val="left" w:pos="748"/>
        </w:tabs>
        <w:spacing w:line="360" w:lineRule="auto"/>
        <w:ind w:firstLine="720"/>
        <w:jc w:val="both"/>
        <w:rPr>
          <w:b/>
          <w:szCs w:val="24"/>
        </w:rPr>
      </w:pPr>
    </w:p>
    <w:p w14:paraId="7D1D5095" w14:textId="77777777" w:rsidR="00A12940" w:rsidRDefault="007B29FF">
      <w:pPr>
        <w:tabs>
          <w:tab w:val="left" w:pos="748"/>
        </w:tabs>
        <w:spacing w:line="360" w:lineRule="auto"/>
        <w:ind w:firstLine="720"/>
        <w:jc w:val="both"/>
        <w:rPr>
          <w:b/>
          <w:bCs/>
          <w:szCs w:val="24"/>
          <w:lang w:eastAsia="lt-LT"/>
        </w:rPr>
      </w:pPr>
      <w:r w:rsidR="00A2198D">
        <w:rPr>
          <w:b/>
          <w:bCs/>
          <w:szCs w:val="24"/>
          <w:lang w:eastAsia="lt-LT"/>
        </w:rPr>
        <w:t>31</w:t>
      </w:r>
      <w:r w:rsidR="00A2198D">
        <w:rPr>
          <w:b/>
          <w:bCs/>
          <w:szCs w:val="24"/>
          <w:vertAlign w:val="superscript"/>
          <w:lang w:eastAsia="lt-LT"/>
        </w:rPr>
        <w:t>12</w:t>
      </w:r>
      <w:r w:rsidR="00A2198D">
        <w:rPr>
          <w:b/>
          <w:bCs/>
          <w:szCs w:val="24"/>
          <w:lang w:eastAsia="lt-LT"/>
        </w:rPr>
        <w:t xml:space="preserve"> straipsnis. </w:t>
      </w:r>
      <w:r w:rsidR="00A2198D">
        <w:rPr>
          <w:b/>
          <w:bCs/>
          <w:szCs w:val="24"/>
          <w:lang w:eastAsia="lt-LT"/>
        </w:rPr>
        <w:t>Europos paveldėjimo pažymėjimo išdavimas</w:t>
      </w:r>
    </w:p>
    <w:p w14:paraId="7D1D5096" w14:textId="77777777" w:rsidR="00A12940" w:rsidRDefault="00A2198D">
      <w:pPr>
        <w:tabs>
          <w:tab w:val="left" w:pos="748"/>
        </w:tabs>
        <w:spacing w:line="360" w:lineRule="auto"/>
        <w:ind w:firstLine="720"/>
        <w:jc w:val="both"/>
        <w:rPr>
          <w:bCs/>
          <w:szCs w:val="24"/>
          <w:lang w:eastAsia="lt-LT"/>
        </w:rPr>
      </w:pPr>
      <w:r>
        <w:rPr>
          <w:bCs/>
          <w:szCs w:val="24"/>
          <w:lang w:eastAsia="lt-LT"/>
        </w:rPr>
        <w:t xml:space="preserve">Institucija, kuri, vadovaujantis </w:t>
      </w:r>
      <w:r>
        <w:rPr>
          <w:szCs w:val="24"/>
        </w:rPr>
        <w:t xml:space="preserve">2012 m. liepos 4 d. Europos Parlamento ir Tarybos reglamento (ES) Nr. 650/2012 dėl jurisdikcijos, taikytinos teisės, teismo sprendimų paveldėjimo klausimais pripažinimo ir vykdymo bei autentiškų dokumentų paveldėjimo klausimais priėmimo ir vykdymo bei dėl Europos paveldėjimo pažymėjimo sukūrimo </w:t>
      </w:r>
      <w:r>
        <w:rPr>
          <w:bCs/>
          <w:szCs w:val="24"/>
          <w:lang w:eastAsia="lt-LT"/>
        </w:rPr>
        <w:t xml:space="preserve">64 </w:t>
      </w:r>
      <w:r>
        <w:rPr>
          <w:bCs/>
          <w:szCs w:val="24"/>
          <w:lang w:eastAsia="lt-LT"/>
        </w:rPr>
        <w:lastRenderedPageBreak/>
        <w:t xml:space="preserve">straipsnio b punkto nuostatomis, išduoda Europos paveldėjimo pažymėjimą, yra palikimo atsiradimo vietos notaras.“ </w:t>
      </w:r>
    </w:p>
    <w:p w14:paraId="7D1D5097" w14:textId="77777777" w:rsidR="00A12940" w:rsidRDefault="007B29FF">
      <w:pPr>
        <w:spacing w:line="360" w:lineRule="auto"/>
        <w:ind w:firstLine="720"/>
        <w:jc w:val="both"/>
        <w:rPr>
          <w:szCs w:val="24"/>
          <w:lang w:eastAsia="lt-LT"/>
        </w:rPr>
      </w:pPr>
    </w:p>
    <w:p w14:paraId="7D1D5098" w14:textId="77777777" w:rsidR="00A12940" w:rsidRDefault="007B29FF">
      <w:pPr>
        <w:tabs>
          <w:tab w:val="left" w:pos="748"/>
        </w:tabs>
        <w:spacing w:line="360" w:lineRule="auto"/>
        <w:ind w:firstLine="720"/>
        <w:jc w:val="both"/>
        <w:rPr>
          <w:b/>
          <w:bCs/>
          <w:szCs w:val="24"/>
          <w:lang w:eastAsia="lt-LT"/>
        </w:rPr>
      </w:pPr>
      <w:r w:rsidR="00A2198D">
        <w:rPr>
          <w:b/>
          <w:szCs w:val="24"/>
          <w:lang w:eastAsia="lt-LT"/>
        </w:rPr>
        <w:t>6</w:t>
      </w:r>
      <w:r w:rsidR="00A2198D">
        <w:rPr>
          <w:b/>
          <w:bCs/>
          <w:szCs w:val="24"/>
          <w:lang w:eastAsia="lt-LT"/>
        </w:rPr>
        <w:t xml:space="preserve"> straipsnis. </w:t>
      </w:r>
      <w:r w:rsidR="00A2198D">
        <w:rPr>
          <w:b/>
          <w:bCs/>
          <w:szCs w:val="24"/>
          <w:lang w:eastAsia="lt-LT"/>
        </w:rPr>
        <w:t xml:space="preserve">Įstatymo priedo pakeitimas </w:t>
      </w:r>
    </w:p>
    <w:p w14:paraId="7D1D5099" w14:textId="77777777" w:rsidR="00A12940" w:rsidRDefault="007B29FF">
      <w:pPr>
        <w:tabs>
          <w:tab w:val="left" w:pos="748"/>
        </w:tabs>
        <w:spacing w:line="360" w:lineRule="auto"/>
        <w:ind w:firstLine="720"/>
        <w:jc w:val="both"/>
        <w:rPr>
          <w:szCs w:val="24"/>
          <w:lang w:eastAsia="lt-LT"/>
        </w:rPr>
      </w:pPr>
      <w:r w:rsidR="00A2198D">
        <w:rPr>
          <w:szCs w:val="24"/>
          <w:lang w:eastAsia="lt-LT"/>
        </w:rPr>
        <w:t>1</w:t>
      </w:r>
      <w:r w:rsidR="00A2198D">
        <w:rPr>
          <w:szCs w:val="24"/>
          <w:lang w:eastAsia="lt-LT"/>
        </w:rPr>
        <w:t>. Pakeisti Įstatymo priedo 1 punktą ir jį išdėstyti taip:</w:t>
      </w:r>
    </w:p>
    <w:p w14:paraId="7D1D509A" w14:textId="77777777" w:rsidR="00A12940" w:rsidRDefault="00A2198D">
      <w:pPr>
        <w:tabs>
          <w:tab w:val="left" w:pos="748"/>
        </w:tabs>
        <w:spacing w:line="360" w:lineRule="auto"/>
        <w:ind w:firstLine="720"/>
        <w:jc w:val="both"/>
        <w:rPr>
          <w:szCs w:val="24"/>
          <w:lang w:eastAsia="lt-LT"/>
        </w:rPr>
      </w:pPr>
      <w:r>
        <w:rPr>
          <w:szCs w:val="24"/>
          <w:lang w:eastAsia="lt-LT"/>
        </w:rPr>
        <w:t>„</w:t>
      </w:r>
      <w:r>
        <w:rPr>
          <w:szCs w:val="24"/>
          <w:lang w:eastAsia="lt-LT"/>
        </w:rPr>
        <w:t>1</w:t>
      </w:r>
      <w:r>
        <w:rPr>
          <w:bCs/>
          <w:szCs w:val="24"/>
          <w:lang w:eastAsia="lt-LT"/>
        </w:rPr>
        <w:t>.</w:t>
      </w:r>
      <w:r>
        <w:rPr>
          <w:b/>
          <w:bCs/>
          <w:szCs w:val="24"/>
          <w:lang w:eastAsia="lt-LT"/>
        </w:rPr>
        <w:t xml:space="preserve"> </w:t>
      </w:r>
      <w:r>
        <w:rPr>
          <w:bCs/>
          <w:szCs w:val="24"/>
          <w:lang w:eastAsia="lt-LT"/>
        </w:rPr>
        <w:t>2012 m. gruodžio 12 d. Europos Parlamento ir Tarybos reglamentas (EB) Nr. 1215/2012 dėl jurisdikcijos ir teismo sprendimų civilinėse ir komercinėse bylose pripažinimo ir vykdymo (nauja redakcija) (OL 2012 L 351, p. 1).</w:t>
      </w:r>
      <w:r>
        <w:rPr>
          <w:szCs w:val="24"/>
          <w:lang w:eastAsia="lt-LT"/>
        </w:rPr>
        <w:t>“</w:t>
      </w:r>
    </w:p>
    <w:p w14:paraId="7D1D509B" w14:textId="77777777" w:rsidR="00A12940" w:rsidRDefault="007B29FF">
      <w:pPr>
        <w:tabs>
          <w:tab w:val="left" w:pos="748"/>
        </w:tabs>
        <w:spacing w:line="360" w:lineRule="auto"/>
        <w:ind w:firstLine="720"/>
        <w:jc w:val="both"/>
        <w:rPr>
          <w:szCs w:val="24"/>
          <w:lang w:eastAsia="lt-LT"/>
        </w:rPr>
      </w:pPr>
      <w:r w:rsidR="00A2198D">
        <w:rPr>
          <w:szCs w:val="24"/>
          <w:lang w:eastAsia="lt-LT"/>
        </w:rPr>
        <w:t>2</w:t>
      </w:r>
      <w:r w:rsidR="00A2198D">
        <w:rPr>
          <w:szCs w:val="24"/>
          <w:lang w:eastAsia="lt-LT"/>
        </w:rPr>
        <w:t>. Papildyti Įstatymo priedą 10 punktu:</w:t>
      </w:r>
    </w:p>
    <w:bookmarkStart w:id="0" w:name="_GoBack" w:displacedByCustomXml="prev"/>
    <w:p w14:paraId="7D1D509C" w14:textId="77777777" w:rsidR="00A12940" w:rsidRDefault="00A2198D">
      <w:pPr>
        <w:tabs>
          <w:tab w:val="left" w:pos="748"/>
        </w:tabs>
        <w:spacing w:line="360" w:lineRule="auto"/>
        <w:ind w:firstLine="720"/>
        <w:jc w:val="both"/>
        <w:rPr>
          <w:szCs w:val="24"/>
          <w:lang w:eastAsia="lt-LT"/>
        </w:rPr>
      </w:pPr>
      <w:r>
        <w:rPr>
          <w:szCs w:val="24"/>
          <w:lang w:eastAsia="lt-LT"/>
        </w:rPr>
        <w:t>„</w:t>
      </w:r>
      <w:r>
        <w:rPr>
          <w:bCs/>
          <w:szCs w:val="24"/>
          <w:lang w:eastAsia="lt-LT"/>
        </w:rPr>
        <w:t>10</w:t>
      </w:r>
      <w:r>
        <w:rPr>
          <w:bCs/>
          <w:szCs w:val="24"/>
          <w:lang w:eastAsia="lt-LT"/>
        </w:rPr>
        <w:t xml:space="preserve">. </w:t>
      </w:r>
      <w:r>
        <w:rPr>
          <w:szCs w:val="24"/>
        </w:rPr>
        <w:t>2012 m. liepos 4 d. Europos Parlamento ir Tarybos reglamentas (ES) Nr. 650/2012 dėl jurisdikcijos, taikytinos teisės, teismo sprendimų paveldėjimo klausimais pripažinimo ir vykdymo bei autentiškų dokumentų paveldėjimo klausimais priėmimo ir vykdymo bei dėl Europos paveldėjimo pažymėjimo sukūrimo</w:t>
      </w:r>
      <w:r>
        <w:rPr>
          <w:szCs w:val="24"/>
          <w:lang w:eastAsia="lt-LT"/>
        </w:rPr>
        <w:t xml:space="preserve"> </w:t>
      </w:r>
      <w:r>
        <w:rPr>
          <w:szCs w:val="24"/>
        </w:rPr>
        <w:t>(OL 2012 L 201, p. 107).“</w:t>
      </w:r>
    </w:p>
    <w:p w14:paraId="7D1D509D" w14:textId="77777777" w:rsidR="00A12940" w:rsidRDefault="007B29FF">
      <w:pPr>
        <w:tabs>
          <w:tab w:val="left" w:pos="748"/>
        </w:tabs>
        <w:spacing w:line="360" w:lineRule="auto"/>
        <w:ind w:firstLine="720"/>
        <w:jc w:val="both"/>
        <w:rPr>
          <w:szCs w:val="24"/>
          <w:lang w:eastAsia="lt-LT"/>
        </w:rPr>
      </w:pPr>
    </w:p>
    <w:bookmarkEnd w:id="0" w:displacedByCustomXml="next"/>
    <w:p w14:paraId="7D1D509E" w14:textId="77777777" w:rsidR="00A12940" w:rsidRDefault="007B29FF">
      <w:pPr>
        <w:tabs>
          <w:tab w:val="left" w:pos="748"/>
        </w:tabs>
        <w:spacing w:line="360" w:lineRule="auto"/>
        <w:ind w:firstLine="720"/>
        <w:jc w:val="both"/>
        <w:rPr>
          <w:b/>
          <w:szCs w:val="24"/>
          <w:lang w:eastAsia="lt-LT"/>
        </w:rPr>
      </w:pPr>
      <w:r w:rsidR="00A2198D">
        <w:rPr>
          <w:b/>
          <w:szCs w:val="24"/>
          <w:lang w:eastAsia="lt-LT"/>
        </w:rPr>
        <w:t>7</w:t>
      </w:r>
      <w:r w:rsidR="00A2198D">
        <w:rPr>
          <w:b/>
          <w:szCs w:val="24"/>
          <w:lang w:eastAsia="lt-LT"/>
        </w:rPr>
        <w:t xml:space="preserve"> straipsnis. </w:t>
      </w:r>
      <w:r w:rsidR="00A2198D">
        <w:rPr>
          <w:b/>
          <w:szCs w:val="24"/>
          <w:lang w:eastAsia="lt-LT"/>
        </w:rPr>
        <w:t>Pasiūlymas Lietuvos Respublikos teisingumo ministrui</w:t>
      </w:r>
    </w:p>
    <w:p w14:paraId="7D1D509F" w14:textId="77777777" w:rsidR="00A12940" w:rsidRDefault="00A2198D">
      <w:pPr>
        <w:tabs>
          <w:tab w:val="left" w:pos="748"/>
        </w:tabs>
        <w:spacing w:line="360" w:lineRule="auto"/>
        <w:ind w:firstLine="720"/>
        <w:jc w:val="both"/>
        <w:rPr>
          <w:szCs w:val="24"/>
          <w:lang w:eastAsia="lt-LT"/>
        </w:rPr>
      </w:pPr>
      <w:r>
        <w:rPr>
          <w:szCs w:val="24"/>
          <w:lang w:eastAsia="lt-LT"/>
        </w:rPr>
        <w:t>Lietuvos Respublikos teisingumo ministras iki 2015 m. rugpjūčio 16 d. priima šio įstatymo 5 straipsnio įgyvendinamuosius teisės aktus.</w:t>
      </w:r>
    </w:p>
    <w:p w14:paraId="7D1D50A0" w14:textId="77777777" w:rsidR="00A12940" w:rsidRDefault="007B29FF">
      <w:pPr>
        <w:tabs>
          <w:tab w:val="left" w:pos="748"/>
        </w:tabs>
        <w:spacing w:line="360" w:lineRule="auto"/>
        <w:ind w:firstLine="720"/>
        <w:jc w:val="both"/>
        <w:rPr>
          <w:szCs w:val="24"/>
          <w:lang w:eastAsia="lt-LT"/>
        </w:rPr>
      </w:pPr>
    </w:p>
    <w:p w14:paraId="7D1D50A1" w14:textId="77777777" w:rsidR="00A12940" w:rsidRDefault="007B29FF">
      <w:pPr>
        <w:tabs>
          <w:tab w:val="left" w:pos="748"/>
        </w:tabs>
        <w:spacing w:line="360" w:lineRule="auto"/>
        <w:ind w:firstLine="720"/>
        <w:jc w:val="both"/>
        <w:rPr>
          <w:b/>
          <w:szCs w:val="24"/>
          <w:lang w:eastAsia="lt-LT"/>
        </w:rPr>
      </w:pPr>
      <w:r w:rsidR="00A2198D">
        <w:rPr>
          <w:b/>
          <w:szCs w:val="24"/>
          <w:lang w:eastAsia="lt-LT"/>
        </w:rPr>
        <w:t>8</w:t>
      </w:r>
      <w:r w:rsidR="00A2198D">
        <w:rPr>
          <w:b/>
          <w:szCs w:val="24"/>
          <w:lang w:eastAsia="lt-LT"/>
        </w:rPr>
        <w:t xml:space="preserve"> straipsnis. </w:t>
      </w:r>
      <w:r w:rsidR="00A2198D">
        <w:rPr>
          <w:b/>
          <w:szCs w:val="24"/>
          <w:lang w:eastAsia="lt-LT"/>
        </w:rPr>
        <w:t>Įstatymo įsigaliojimas</w:t>
      </w:r>
    </w:p>
    <w:p w14:paraId="7D1D50A2" w14:textId="77777777" w:rsidR="00A12940" w:rsidRDefault="007B29FF">
      <w:pPr>
        <w:tabs>
          <w:tab w:val="left" w:pos="748"/>
          <w:tab w:val="left" w:pos="993"/>
        </w:tabs>
        <w:spacing w:line="360" w:lineRule="auto"/>
        <w:ind w:firstLine="720"/>
        <w:jc w:val="both"/>
        <w:rPr>
          <w:szCs w:val="24"/>
          <w:lang w:eastAsia="lt-LT"/>
        </w:rPr>
      </w:pPr>
      <w:r w:rsidR="00A2198D">
        <w:rPr>
          <w:szCs w:val="24"/>
          <w:lang w:eastAsia="lt-LT"/>
        </w:rPr>
        <w:t>1</w:t>
      </w:r>
      <w:r w:rsidR="00A2198D">
        <w:rPr>
          <w:szCs w:val="24"/>
          <w:lang w:eastAsia="lt-LT"/>
        </w:rPr>
        <w:t>. Šis įstatymas, išskyrus 5 straipsnį, 6 straipsnio 2 dalį ir 7 straipsnį, įsigalioja 2015 m. sausio 10 d.</w:t>
      </w:r>
    </w:p>
    <w:p w14:paraId="7D1D50A3" w14:textId="77777777" w:rsidR="00A12940" w:rsidRDefault="007B29FF">
      <w:pPr>
        <w:tabs>
          <w:tab w:val="left" w:pos="748"/>
        </w:tabs>
        <w:spacing w:line="360" w:lineRule="auto"/>
        <w:ind w:firstLine="720"/>
        <w:jc w:val="both"/>
        <w:rPr>
          <w:szCs w:val="24"/>
          <w:lang w:eastAsia="lt-LT"/>
        </w:rPr>
      </w:pPr>
      <w:r w:rsidR="00A2198D">
        <w:rPr>
          <w:szCs w:val="24"/>
          <w:lang w:eastAsia="lt-LT"/>
        </w:rPr>
        <w:t>2</w:t>
      </w:r>
      <w:r w:rsidR="00A2198D">
        <w:rPr>
          <w:szCs w:val="24"/>
          <w:lang w:eastAsia="lt-LT"/>
        </w:rPr>
        <w:t xml:space="preserve">. Šio įstatymo 5 straipsnis ir 6 straipsnio 2 dalis įsigalioja 2015 m. rugpjūčio 17 d. </w:t>
      </w:r>
    </w:p>
    <w:p w14:paraId="7D1D50A4" w14:textId="77777777" w:rsidR="00A12940" w:rsidRDefault="007B29FF">
      <w:pPr>
        <w:spacing w:line="360" w:lineRule="auto"/>
        <w:ind w:firstLine="720"/>
        <w:jc w:val="both"/>
        <w:rPr>
          <w:szCs w:val="24"/>
        </w:rPr>
      </w:pPr>
    </w:p>
    <w:p w14:paraId="7D1D50A5" w14:textId="77777777" w:rsidR="00A12940" w:rsidRDefault="00A2198D">
      <w:pPr>
        <w:spacing w:line="360" w:lineRule="auto"/>
        <w:ind w:firstLine="720"/>
        <w:jc w:val="both"/>
        <w:rPr>
          <w:szCs w:val="24"/>
        </w:rPr>
      </w:pPr>
      <w:r>
        <w:rPr>
          <w:i/>
          <w:iCs/>
          <w:szCs w:val="24"/>
        </w:rPr>
        <w:t>Skelbiu šį Lietuvos Respublikos Seimo priimtą įstatymą</w:t>
      </w:r>
      <w:r>
        <w:rPr>
          <w:szCs w:val="24"/>
        </w:rPr>
        <w:t>.</w:t>
      </w:r>
    </w:p>
    <w:p w14:paraId="7D1D50A6" w14:textId="77777777" w:rsidR="00A12940" w:rsidRDefault="00A12940">
      <w:pPr>
        <w:spacing w:line="360" w:lineRule="auto"/>
        <w:ind w:firstLine="709"/>
        <w:jc w:val="both"/>
      </w:pPr>
    </w:p>
    <w:p w14:paraId="7D1D50A7" w14:textId="77777777" w:rsidR="00A12940" w:rsidRDefault="00A12940">
      <w:pPr>
        <w:spacing w:line="360" w:lineRule="auto"/>
        <w:ind w:firstLine="709"/>
        <w:jc w:val="both"/>
      </w:pPr>
    </w:p>
    <w:p w14:paraId="7D1D50A8" w14:textId="77777777" w:rsidR="00A12940" w:rsidRDefault="00A12940">
      <w:pPr>
        <w:spacing w:line="360" w:lineRule="auto"/>
        <w:ind w:firstLine="709"/>
        <w:jc w:val="both"/>
      </w:pPr>
    </w:p>
    <w:p w14:paraId="7D1D50A9" w14:textId="77777777" w:rsidR="00A12940" w:rsidRDefault="00A12940"/>
    <w:p w14:paraId="7D1D50AA" w14:textId="77777777" w:rsidR="00A12940" w:rsidRDefault="00A12940">
      <w:pPr>
        <w:rPr>
          <w:sz w:val="30"/>
          <w:szCs w:val="30"/>
        </w:rPr>
      </w:pPr>
    </w:p>
    <w:p w14:paraId="7D1D50AC" w14:textId="77777777" w:rsidR="00A12940" w:rsidRDefault="00A12940">
      <w:pPr>
        <w:tabs>
          <w:tab w:val="center" w:pos="4153"/>
          <w:tab w:val="right" w:pos="8306"/>
        </w:tabs>
        <w:rPr>
          <w:rFonts w:ascii="TimesLT" w:hAnsi="TimesLT"/>
          <w:lang w:val="en-US"/>
        </w:rPr>
      </w:pPr>
    </w:p>
    <w:p w14:paraId="7D1D50AD" w14:textId="77777777" w:rsidR="00A12940" w:rsidRDefault="00A2198D">
      <w:pPr>
        <w:tabs>
          <w:tab w:val="right" w:pos="8730"/>
        </w:tabs>
      </w:pPr>
      <w:r>
        <w:t>Respublikos Prezidentė</w:t>
      </w:r>
      <w:r>
        <w:rPr>
          <w:caps/>
        </w:rPr>
        <w:tab/>
      </w:r>
      <w:r>
        <w:t>Dalia Grybauskaitė</w:t>
      </w:r>
    </w:p>
    <w:p w14:paraId="7D1D50AE" w14:textId="77777777" w:rsidR="00A12940" w:rsidRDefault="007B29FF"/>
    <w:sectPr w:rsidR="00A1294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D50B3" w14:textId="77777777" w:rsidR="00A12940" w:rsidRDefault="00A2198D">
      <w:pPr>
        <w:rPr>
          <w:rFonts w:ascii="TimesLT" w:hAnsi="TimesLT"/>
          <w:lang w:val="en-US"/>
        </w:rPr>
      </w:pPr>
      <w:r>
        <w:rPr>
          <w:rFonts w:ascii="TimesLT" w:hAnsi="TimesLT"/>
          <w:lang w:val="en-US"/>
        </w:rPr>
        <w:separator/>
      </w:r>
    </w:p>
  </w:endnote>
  <w:endnote w:type="continuationSeparator" w:id="0">
    <w:p w14:paraId="7D1D50B4" w14:textId="77777777" w:rsidR="00A12940" w:rsidRDefault="00A2198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50B9" w14:textId="77777777" w:rsidR="00A12940" w:rsidRDefault="00A2198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D1D50BA" w14:textId="77777777" w:rsidR="00A12940" w:rsidRDefault="00A1294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50BB" w14:textId="77777777" w:rsidR="00A12940" w:rsidRDefault="00A1294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50BD" w14:textId="77777777" w:rsidR="00A12940" w:rsidRDefault="00A1294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D50B1" w14:textId="77777777" w:rsidR="00A12940" w:rsidRDefault="00A2198D">
      <w:pPr>
        <w:rPr>
          <w:rFonts w:ascii="TimesLT" w:hAnsi="TimesLT"/>
          <w:lang w:val="en-US"/>
        </w:rPr>
      </w:pPr>
      <w:r>
        <w:rPr>
          <w:rFonts w:ascii="TimesLT" w:hAnsi="TimesLT"/>
          <w:lang w:val="en-US"/>
        </w:rPr>
        <w:separator/>
      </w:r>
    </w:p>
  </w:footnote>
  <w:footnote w:type="continuationSeparator" w:id="0">
    <w:p w14:paraId="7D1D50B2" w14:textId="77777777" w:rsidR="00A12940" w:rsidRDefault="00A2198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50B5" w14:textId="77777777" w:rsidR="00A12940" w:rsidRDefault="00A2198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D1D50B6" w14:textId="77777777" w:rsidR="00A12940" w:rsidRDefault="00A1294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50B7" w14:textId="77777777" w:rsidR="00A12940" w:rsidRDefault="00A2198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7B29FF">
      <w:rPr>
        <w:rFonts w:ascii="TimesLT" w:hAnsi="TimesLT"/>
        <w:noProof/>
        <w:lang w:val="en-US"/>
      </w:rPr>
      <w:t>4</w:t>
    </w:r>
    <w:r>
      <w:rPr>
        <w:rFonts w:ascii="TimesLT" w:hAnsi="TimesLT"/>
        <w:lang w:val="en-US"/>
      </w:rPr>
      <w:fldChar w:fldCharType="end"/>
    </w:r>
  </w:p>
  <w:p w14:paraId="7D1D50B8" w14:textId="77777777" w:rsidR="00A12940" w:rsidRDefault="00A1294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50BC" w14:textId="77777777" w:rsidR="00A12940" w:rsidRDefault="00A1294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8C"/>
    <w:rsid w:val="00062D8C"/>
    <w:rsid w:val="007B29FF"/>
    <w:rsid w:val="00A12940"/>
    <w:rsid w:val="00A219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D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6167</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7040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2014-05-28T07:02:00Z</dcterms:created>
  <dc:creator>MANIUŠKIENĖ Violeta</dc:creator>
  <lastModifiedBy>TRAPINSKIENĖ Aušrinė</lastModifiedBy>
  <lastPrinted>2004-12-10T05:45:00Z</lastPrinted>
  <dcterms:modified xsi:type="dcterms:W3CDTF">2015-02-02T11:49:00Z</dcterms:modified>
  <revision>4</revision>
</coreProperties>
</file>