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6fa1f264ee847f3a215f40edbc1c47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VIEŠOJO ADMINISTRAVIMO ĮSTATYMO NR. VIII-1234 5 STRAIPSNIO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sausio</w:t>
          </w:r>
          <w:r>
            <w:rPr>
              <w:szCs w:val="24"/>
            </w:rPr>
            <w:t xml:space="preserve"> </w:t>
          </w:r>
          <w:r>
            <w:rPr>
              <w:szCs w:val="24"/>
              <w:lang w:val="en-US"/>
            </w:rPr>
            <w:t>20</w:t>
          </w:r>
          <w:r>
            <w:rPr>
              <w:szCs w:val="24"/>
            </w:rPr>
            <w:t xml:space="preserve"> d. Nr. </w:t>
          </w:r>
          <w:r>
            <w:rPr>
              <w:szCs w:val="24"/>
              <w:lang w:val="en-US"/>
            </w:rPr>
            <w:t>XIV-923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02a586c30034cbd8e17841da62b3ae8"/>
            <w:lock w:val="sdtLocked"/>
            <w:richText/>
          </w:sdtPr>
          <w:sdtContent>
            <w:p>
              <w:pPr>
                <w:spacing w:line="360" w:lineRule="auto"/>
                <w:ind w:firstLine="720"/>
                <w:jc w:val="both"/>
                <w:rPr>
                  <w:color w:val="000000"/>
                  <w:szCs w:val="24"/>
                  <w:lang w:eastAsia="lt-LT"/>
                </w:rPr>
              </w:pPr>
              <w:sdt>
                <w:sdtPr>
                  <w:alias w:val="Numeris"/>
                  <w:tag w:val="nr_102a586c30034cbd8e17841da62b3ae8"/>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102a586c30034cbd8e17841da62b3ae8"/>
                  <w:lock w:val="sdtLocked"/>
                  <w:richText/>
                </w:sdtPr>
                <w:sdtContent>
                  <w:r>
                    <w:rPr>
                      <w:b/>
                      <w:bCs/>
                      <w:color w:val="000000"/>
                      <w:szCs w:val="24"/>
                      <w:lang w:eastAsia="lt-LT"/>
                    </w:rPr>
                    <w:t>5 straipsnio pakeitimas</w:t>
                  </w:r>
                </w:sdtContent>
              </w:sdt>
            </w:p>
            <w:sdt>
              <w:sdtPr>
                <w:alias w:val="1 str. 1 d."/>
                <w:tag w:val="part_4cd724997241446cbe96913dce25214b"/>
                <w:lock w:val="sdtLocked"/>
                <w:richText/>
              </w:sdtPr>
              <w:sdtContent>
                <w:p>
                  <w:pPr>
                    <w:spacing w:line="360" w:lineRule="auto"/>
                    <w:ind w:firstLine="720"/>
                    <w:jc w:val="both"/>
                    <w:rPr>
                      <w:color w:val="000000"/>
                      <w:szCs w:val="24"/>
                      <w:lang w:eastAsia="lt-LT"/>
                    </w:rPr>
                  </w:pPr>
                  <w:r>
                    <w:rPr>
                      <w:color w:val="000000"/>
                      <w:szCs w:val="24"/>
                      <w:lang w:eastAsia="lt-LT"/>
                    </w:rPr>
                    <w:t>Pakeisti 5 straipsnio 1 dalį ir ją išdėstyti taip:</w:t>
                  </w:r>
                </w:p>
                <w:sdt>
                  <w:sdtPr>
                    <w:alias w:val="citata"/>
                    <w:tag w:val="part_69b727436c8d41b586108b42b90dd703"/>
                    <w:lock w:val="sdtLocked"/>
                    <w:richText/>
                  </w:sdtPr>
                  <w:sdtContent>
                    <w:sdt>
                      <w:sdtPr>
                        <w:alias w:val="1 d."/>
                        <w:tag w:val="part_5d7a3e8364bb498daf9d8e5174f04946"/>
                        <w:lock w:val="sdtLocked"/>
                        <w:richText/>
                      </w:sdtPr>
                      <w:sdtContent>
                        <w:p>
                          <w:pPr>
                            <w:spacing w:line="360" w:lineRule="auto"/>
                            <w:ind w:firstLine="720"/>
                            <w:jc w:val="both"/>
                            <w:rPr>
                              <w:rFonts w:eastAsia="Calibri"/>
                              <w:b/>
                              <w:bCs/>
                              <w:szCs w:val="24"/>
                            </w:rPr>
                          </w:pPr>
                          <w:r>
                            <w:rPr>
                              <w:rFonts w:eastAsia="Calibri"/>
                              <w:bCs/>
                              <w:szCs w:val="24"/>
                            </w:rPr>
                            <w:t>„</w:t>
                          </w:r>
                          <w:sdt>
                            <w:sdtPr>
                              <w:alias w:val="Numeris"/>
                              <w:tag w:val="nr_5d7a3e8364bb498daf9d8e5174f04946"/>
                              <w:lock w:val="sdtLocked"/>
                              <w:richText/>
                            </w:sdtPr>
                            <w:sdtContent>
                              <w:r>
                                <w:rPr>
                                  <w:rFonts w:eastAsia="Calibri"/>
                                  <w:szCs w:val="24"/>
                                </w:rPr>
                                <w:t>1</w:t>
                              </w:r>
                            </w:sdtContent>
                          </w:sdt>
                          <w:r>
                            <w:rPr>
                              <w:rFonts w:eastAsia="Calibri"/>
                              <w:szCs w:val="24"/>
                            </w:rPr>
                            <w:t>. Viešojo administravimo įgaliojimų suteikimo forma:</w:t>
                          </w:r>
                        </w:p>
                        <w:sdt>
                          <w:sdtPr>
                            <w:alias w:val="1 d. 1 p."/>
                            <w:tag w:val="part_5f31a3f50f8d4fd8ab04155738be8378"/>
                            <w:lock w:val="sdtLocked"/>
                            <w:richText/>
                          </w:sdtPr>
                          <w:sdtContent>
                            <w:p>
                              <w:pPr>
                                <w:spacing w:line="360" w:lineRule="auto"/>
                                <w:ind w:firstLine="720"/>
                                <w:jc w:val="both"/>
                                <w:rPr>
                                  <w:rFonts w:eastAsia="Calibri"/>
                                  <w:szCs w:val="24"/>
                                </w:rPr>
                              </w:pPr>
                              <w:sdt>
                                <w:sdtPr>
                                  <w:alias w:val="Numeris"/>
                                  <w:tag w:val="nr_5f31a3f50f8d4fd8ab04155738be8378"/>
                                  <w:lock w:val="sdtLocked"/>
                                  <w:richText/>
                                </w:sdtPr>
                                <w:sdtContent>
                                  <w:r>
                                    <w:rPr>
                                      <w:rFonts w:eastAsia="Calibri"/>
                                      <w:szCs w:val="24"/>
                                    </w:rPr>
                                    <w:t>1</w:t>
                                  </w:r>
                                </w:sdtContent>
                              </w:sdt>
                              <w:r>
                                <w:rPr>
                                  <w:rFonts w:eastAsia="Calibri"/>
                                  <w:szCs w:val="24"/>
                                </w:rPr>
                                <w:t>) kolegialioms ar vienasmenėms valstybės ar savivaldybių institucijoms, biudžetinėms įstaigoms, regionų plėtros taryboms, Lietuvos bankui, Lietuvos kariuomenei viešojo administravimo įgaliojimai gali būti suteikti:</w:t>
                              </w:r>
                            </w:p>
                            <w:sdt>
                              <w:sdtPr>
                                <w:alias w:val="1 d. 1 p. a pp."/>
                                <w:tag w:val="part_518778ea34224d69a1217c7a0baf31b7"/>
                                <w:lock w:val="sdtLocked"/>
                                <w:richText/>
                              </w:sdtPr>
                              <w:sdtContent>
                                <w:p>
                                  <w:pPr>
                                    <w:spacing w:line="360" w:lineRule="auto"/>
                                    <w:ind w:firstLine="720"/>
                                    <w:jc w:val="both"/>
                                    <w:rPr>
                                      <w:rFonts w:eastAsia="Calibri"/>
                                      <w:szCs w:val="24"/>
                                    </w:rPr>
                                  </w:pPr>
                                  <w:sdt>
                                    <w:sdtPr>
                                      <w:alias w:val="Numeris"/>
                                      <w:tag w:val="nr_518778ea34224d69a1217c7a0baf31b7"/>
                                      <w:lock w:val="sdtLocked"/>
                                      <w:richText/>
                                    </w:sdtPr>
                                    <w:sdtContent>
                                      <w:r>
                                        <w:rPr>
                                          <w:rFonts w:eastAsia="Calibri"/>
                                          <w:szCs w:val="24"/>
                                        </w:rPr>
                                        <w:t>a</w:t>
                                      </w:r>
                                    </w:sdtContent>
                                  </w:sdt>
                                  <w:r>
                                    <w:rPr>
                                      <w:rFonts w:eastAsia="Calibri"/>
                                      <w:szCs w:val="24"/>
                                    </w:rPr>
                                    <w:t>) įstatymais, tiesiogiai taikomu Europos Sąjungos teisės aktu, ratifikuota Lietuvos Respublikos tarptautine sutartimi, kai tame teisės akte nurodomas konkretus veikiantis ar numatomas steigti viešojo administravimo</w:t>
                                  </w:r>
                                  <w:r>
                                    <w:rPr>
                                      <w:rFonts w:eastAsia="Calibri"/>
                                      <w:bCs/>
                                      <w:szCs w:val="24"/>
                                    </w:rPr>
                                    <w:t xml:space="preserve"> </w:t>
                                  </w:r>
                                  <w:r>
                                    <w:rPr>
                                      <w:rFonts w:eastAsia="Calibri"/>
                                      <w:szCs w:val="24"/>
                                    </w:rPr>
                                    <w:t>subjektas (jo pavadinimas ir teisinė forma) ir šiam subjektui nustatomi konkretūs viešojo administravimo įgaliojimai;</w:t>
                                  </w:r>
                                </w:p>
                              </w:sdtContent>
                            </w:sdt>
                            <w:sdt>
                              <w:sdtPr>
                                <w:alias w:val="1 d. 1 p. b pp."/>
                                <w:tag w:val="part_dddb9cac9c014002a4d2b43e58a0e648"/>
                                <w:lock w:val="sdtLocked"/>
                                <w:richText/>
                              </w:sdtPr>
                              <w:sdtContent>
                                <w:p>
                                  <w:pPr>
                                    <w:spacing w:line="360" w:lineRule="auto"/>
                                    <w:ind w:firstLine="720"/>
                                    <w:jc w:val="both"/>
                                    <w:rPr>
                                      <w:rFonts w:eastAsia="Calibri"/>
                                      <w:szCs w:val="24"/>
                                    </w:rPr>
                                  </w:pPr>
                                  <w:sdt>
                                    <w:sdtPr>
                                      <w:alias w:val="Numeris"/>
                                      <w:tag w:val="nr_dddb9cac9c014002a4d2b43e58a0e648"/>
                                      <w:lock w:val="sdtLocked"/>
                                      <w:richText/>
                                    </w:sdtPr>
                                    <w:sdtContent>
                                      <w:r>
                                        <w:rPr>
                                          <w:rFonts w:eastAsia="Calibri"/>
                                          <w:szCs w:val="24"/>
                                        </w:rPr>
                                        <w:t>b</w:t>
                                      </w:r>
                                    </w:sdtContent>
                                  </w:sdt>
                                  <w:r>
                                    <w:rPr>
                                      <w:rFonts w:eastAsia="Calibri"/>
                                      <w:szCs w:val="24"/>
                                    </w:rPr>
                                    <w:t>) įstatymų įgaliotos valstybės institucijos ar savivaldybės tarybos priimtu teisės aktu, kai tame teisės akte, vadovaujantis įstatymu, reglamentuojančiu bendrą tam tikros visuomenės gyvenimo srities viešojo administravimo subjektų sudarymo ir veiklos tvarką, nurodomas veikiantis ar numatomas steigti viešojo administravimo subjektas (jo pavadinimas ir teisinė forma) ir šiam subjektui nustatomi konkretūs viešojo administravimo įgaliojimai;</w:t>
                                  </w:r>
                                </w:p>
                              </w:sdtContent>
                            </w:sdt>
                          </w:sdtContent>
                        </w:sdt>
                        <w:sdt>
                          <w:sdtPr>
                            <w:alias w:val="1 d. 2 p."/>
                            <w:tag w:val="part_fca1dc0617eb480786853094afafcea6"/>
                            <w:lock w:val="sdtLocked"/>
                            <w:richText/>
                          </w:sdtPr>
                          <w:sdtContent>
                            <w:p>
                              <w:pPr>
                                <w:spacing w:line="360" w:lineRule="auto"/>
                                <w:ind w:firstLine="720"/>
                                <w:jc w:val="both"/>
                                <w:rPr>
                                  <w:rFonts w:eastAsia="Calibri"/>
                                  <w:szCs w:val="24"/>
                                </w:rPr>
                              </w:pPr>
                              <w:sdt>
                                <w:sdtPr>
                                  <w:alias w:val="Numeris"/>
                                  <w:tag w:val="nr_fca1dc0617eb480786853094afafcea6"/>
                                  <w:lock w:val="sdtLocked"/>
                                  <w:richText/>
                                </w:sdtPr>
                                <w:sdtContent>
                                  <w:r>
                                    <w:rPr>
                                      <w:rFonts w:eastAsia="Calibri"/>
                                      <w:szCs w:val="24"/>
                                    </w:rPr>
                                    <w:t>2</w:t>
                                  </w:r>
                                </w:sdtContent>
                              </w:sdt>
                              <w:r>
                                <w:rPr>
                                  <w:rFonts w:eastAsia="Calibri"/>
                                  <w:szCs w:val="24"/>
                                </w:rPr>
                                <w:t>) viešosioms įstaigoms, kurių savininkė ar dalininkė yra valstybė, viešojo administravimo įgaliojimai gali būti suteikti:</w:t>
                              </w:r>
                            </w:p>
                            <w:sdt>
                              <w:sdtPr>
                                <w:alias w:val="1 d. 2 p. a pp."/>
                                <w:tag w:val="part_c79420828d864c02bdf9f5699caac286"/>
                                <w:lock w:val="sdtLocked"/>
                                <w:richText/>
                              </w:sdtPr>
                              <w:sdtContent>
                                <w:p>
                                  <w:pPr>
                                    <w:spacing w:line="360" w:lineRule="auto"/>
                                    <w:ind w:firstLine="720"/>
                                    <w:jc w:val="both"/>
                                    <w:rPr>
                                      <w:rFonts w:eastAsia="Calibri"/>
                                      <w:szCs w:val="24"/>
                                    </w:rPr>
                                  </w:pPr>
                                  <w:sdt>
                                    <w:sdtPr>
                                      <w:alias w:val="Numeris"/>
                                      <w:tag w:val="nr_c79420828d864c02bdf9f5699caac286"/>
                                      <w:lock w:val="sdtLocked"/>
                                      <w:richText/>
                                    </w:sdtPr>
                                    <w:sdtContent>
                                      <w:r>
                                        <w:rPr>
                                          <w:rFonts w:eastAsia="Calibri"/>
                                          <w:szCs w:val="24"/>
                                        </w:rPr>
                                        <w:t>a</w:t>
                                      </w:r>
                                    </w:sdtContent>
                                  </w:sdt>
                                  <w:r>
                                    <w:rPr>
                                      <w:rFonts w:eastAsia="Calibri"/>
                                      <w:szCs w:val="24"/>
                                    </w:rPr>
                                    <w:t>) įstatymu, tiesiogiai taikomu Europos Sąjungos teisės aktu, ratifikuota Lietuvos Respublikos tarptautine sutartimi, kai tame teisės akte nurodomi konkretūs viešojo administravimo įgaliojimai, o sprendimą dėl viešosios įstaigos, kuriai šie viešojo administravimo įgaliojimai bus suteikti, pavedama priimti Vyriausybei;</w:t>
                                  </w:r>
                                </w:p>
                              </w:sdtContent>
                            </w:sdt>
                            <w:sdt>
                              <w:sdtPr>
                                <w:alias w:val="1 d. 2 p. b pp."/>
                                <w:tag w:val="part_188e9b5a5ad64bbbaa3455faacb88425"/>
                                <w:lock w:val="sdtLocked"/>
                                <w:richText/>
                              </w:sdtPr>
                              <w:sdtContent>
                                <w:p>
                                  <w:pPr>
                                    <w:spacing w:line="360" w:lineRule="auto"/>
                                    <w:ind w:firstLine="720"/>
                                    <w:jc w:val="both"/>
                                    <w:rPr>
                                      <w:rFonts w:eastAsia="Calibri"/>
                                      <w:szCs w:val="24"/>
                                    </w:rPr>
                                  </w:pPr>
                                  <w:sdt>
                                    <w:sdtPr>
                                      <w:alias w:val="Numeris"/>
                                      <w:tag w:val="nr_188e9b5a5ad64bbbaa3455faacb88425"/>
                                      <w:lock w:val="sdtLocked"/>
                                      <w:richText/>
                                    </w:sdtPr>
                                    <w:sdtContent>
                                      <w:r>
                                        <w:rPr>
                                          <w:rFonts w:eastAsia="Calibri"/>
                                          <w:szCs w:val="24"/>
                                        </w:rPr>
                                        <w:t>b</w:t>
                                      </w:r>
                                    </w:sdtContent>
                                  </w:sdt>
                                  <w:r>
                                    <w:rPr>
                                      <w:rFonts w:eastAsia="Calibri"/>
                                      <w:szCs w:val="24"/>
                                    </w:rPr>
                                    <w:t>) Vyriausybės nutarimu, priimamu įgyvendinant įstatymų, tiesiogiai taikomų Europos Sąjungos teisės aktų ar ratifikuotų Lietuvos Respublikos tarptautinių sutarčių nuostatas, kai tame Vyriausybės nutarime nurodoma veikianti ar numatoma steigti viešoji įstaiga ir jai nustatomi konkretūs viešojo administravimo įgaliojimai;</w:t>
                                  </w:r>
                                </w:p>
                              </w:sdtContent>
                            </w:sdt>
                          </w:sdtContent>
                        </w:sdt>
                        <w:sdt>
                          <w:sdtPr>
                            <w:alias w:val="1 d. 3 p."/>
                            <w:tag w:val="part_a59288b6ece04cfd93484d13e92ba5dd"/>
                            <w:lock w:val="sdtLocked"/>
                            <w:richText/>
                          </w:sdtPr>
                          <w:sdtContent>
                            <w:p>
                              <w:pPr>
                                <w:spacing w:line="360" w:lineRule="auto"/>
                                <w:ind w:firstLine="720"/>
                                <w:jc w:val="both"/>
                                <w:rPr>
                                  <w:rFonts w:eastAsia="Calibri"/>
                                  <w:szCs w:val="24"/>
                                </w:rPr>
                              </w:pPr>
                              <w:sdt>
                                <w:sdtPr>
                                  <w:alias w:val="Numeris"/>
                                  <w:tag w:val="nr_a59288b6ece04cfd93484d13e92ba5dd"/>
                                  <w:lock w:val="sdtLocked"/>
                                  <w:richText/>
                                </w:sdtPr>
                                <w:sdtContent>
                                  <w:r>
                                    <w:rPr>
                                      <w:rFonts w:eastAsia="Calibri"/>
                                      <w:szCs w:val="24"/>
                                    </w:rPr>
                                    <w:t>3</w:t>
                                  </w:r>
                                </w:sdtContent>
                              </w:sdt>
                              <w:r>
                                <w:rPr>
                                  <w:rFonts w:eastAsia="Calibri"/>
                                  <w:szCs w:val="24"/>
                                </w:rPr>
                                <w:t>) viešosioms įstaigoms, kurių savininkė ar dalininkė yra savivaldybė,</w:t>
                              </w:r>
                              <w:r>
                                <w:t xml:space="preserve"> </w:t>
                              </w:r>
                              <w:r>
                                <w:rPr>
                                  <w:rFonts w:eastAsia="Calibri"/>
                                  <w:szCs w:val="24"/>
                                </w:rPr>
                                <w:t xml:space="preserve">viešojo administravimo įgaliojimai gali būti suteikti įstatymais, </w:t>
                              </w:r>
                              <w:r>
                                <w:rPr>
                                  <w:color w:val="000000"/>
                                  <w:spacing w:val="-4"/>
                                  <w:szCs w:val="24"/>
                                </w:rPr>
                                <w:t xml:space="preserve">tiesiogiai taikomu Europos Sąjungos teisės aktu, ratifikuota Lietuvos Respublikos tarptautine sutartimi, </w:t>
                              </w:r>
                              <w:r>
                                <w:rPr>
                                  <w:rFonts w:eastAsia="Calibri"/>
                                  <w:szCs w:val="24"/>
                                </w:rPr>
                                <w:t>kai juose nurodomi šioms įstaigoms nustatomi konkretūs viešojo administravimo įgaliojimai. Sprendimą dėl konkrečios viešosios įstaigos, kuriai suteikiami viešojo administravimo įgaliojimai, priima savivaldybės taryba;</w:t>
                              </w:r>
                            </w:p>
                          </w:sdtContent>
                        </w:sdt>
                        <w:sdt>
                          <w:sdtPr>
                            <w:alias w:val="1 d. 4 p."/>
                            <w:tag w:val="part_697270b236d34864980b10354a6da989"/>
                            <w:lock w:val="sdtLocked"/>
                            <w:richText/>
                          </w:sdtPr>
                          <w:sdtContent>
                            <w:p>
                              <w:pPr>
                                <w:spacing w:line="360" w:lineRule="auto"/>
                                <w:ind w:firstLine="720"/>
                                <w:jc w:val="both"/>
                                <w:rPr>
                                  <w:rFonts w:eastAsia="Calibri"/>
                                  <w:szCs w:val="24"/>
                                </w:rPr>
                              </w:pPr>
                              <w:sdt>
                                <w:sdtPr>
                                  <w:alias w:val="Numeris"/>
                                  <w:tag w:val="nr_697270b236d34864980b10354a6da989"/>
                                  <w:lock w:val="sdtLocked"/>
                                  <w:richText/>
                                </w:sdtPr>
                                <w:sdtContent>
                                  <w:r>
                                    <w:rPr>
                                      <w:rFonts w:eastAsia="Calibri"/>
                                      <w:szCs w:val="24"/>
                                    </w:rPr>
                                    <w:t>4</w:t>
                                  </w:r>
                                </w:sdtContent>
                              </w:sdt>
                              <w:r>
                                <w:rPr>
                                  <w:rFonts w:eastAsia="Calibri"/>
                                  <w:szCs w:val="24"/>
                                </w:rPr>
                                <w:t>) įstatymų nustatytą specialų statusą turintiems fiziniams asmenims, asociacijoms, valstybės ar savivaldybės įmonėms viešojo administravimo įgaliojimai gali būti suteikti įstatymais, tiesiogiai taikomu Europos Sąjungos teisės aktu, ratifikuota Lietuvos Respublikos tarptautine sutartimi, kai tame teisės akte nurodomas konkretus veikiantis ar numatomas steigti viešojo administravimo subjektas (jo pavadinimas ir teisinė forma) ir šiam subjektui nustatomi konkretūs viešojo administravimo įgaliojimai.“</w:t>
                              </w:r>
                            </w:p>
                            <w:p>
                              <w:pPr>
                                <w:spacing w:line="360" w:lineRule="auto"/>
                                <w:ind w:firstLine="720"/>
                                <w:jc w:val="both"/>
                                <w:rPr>
                                  <w:rFonts w:eastAsia="Calibri"/>
                                  <w:szCs w:val="24"/>
                                </w:rPr>
                              </w:pPr>
                            </w:p>
                          </w:sdtContent>
                        </w:sdt>
                      </w:sdtContent>
                    </w:sdt>
                  </w:sdtContent>
                </w:sdt>
              </w:sdtContent>
            </w:sdt>
          </w:sdtContent>
        </w:sdt>
        <w:sdt>
          <w:sdtPr>
            <w:alias w:val="2 str."/>
            <w:tag w:val="part_7e7472350d49463ea612c8a3a1bdfe61"/>
            <w:lock w:val="sdtLocked"/>
            <w:richText/>
          </w:sdtPr>
          <w:sdtContent>
            <w:p>
              <w:pPr>
                <w:widowControl w:val="0"/>
                <w:spacing w:line="360" w:lineRule="auto"/>
                <w:ind w:firstLine="720"/>
                <w:jc w:val="both"/>
                <w:rPr>
                  <w:szCs w:val="24"/>
                  <w:lang w:eastAsia="lt-LT"/>
                </w:rPr>
              </w:pPr>
              <w:sdt>
                <w:sdtPr>
                  <w:alias w:val="Numeris"/>
                  <w:tag w:val="nr_7e7472350d49463ea612c8a3a1bdfe61"/>
                  <w:lock w:val="sdtLocked"/>
                  <w:richText/>
                </w:sdtPr>
                <w:sdtContent>
                  <w:r>
                    <w:rPr>
                      <w:b/>
                      <w:szCs w:val="24"/>
                      <w:lang w:eastAsia="lt-LT"/>
                    </w:rPr>
                    <w:t>2</w:t>
                  </w:r>
                </w:sdtContent>
              </w:sdt>
              <w:r>
                <w:rPr>
                  <w:b/>
                  <w:szCs w:val="24"/>
                  <w:lang w:eastAsia="lt-LT"/>
                </w:rPr>
                <w:t xml:space="preserve"> straipsnis. </w:t>
              </w:r>
              <w:sdt>
                <w:sdtPr>
                  <w:alias w:val="Pavadinimas"/>
                  <w:tag w:val="title_7e7472350d49463ea612c8a3a1bdfe61"/>
                  <w:lock w:val="sdtLocked"/>
                  <w:richText/>
                </w:sdtPr>
                <w:sdtContent>
                  <w:r>
                    <w:rPr>
                      <w:b/>
                      <w:szCs w:val="24"/>
                      <w:lang w:eastAsia="lt-LT"/>
                    </w:rPr>
                    <w:t>Įstatymo taikymas</w:t>
                  </w:r>
                </w:sdtContent>
              </w:sdt>
            </w:p>
            <w:sdt>
              <w:sdtPr>
                <w:alias w:val="2 str. 1 d."/>
                <w:tag w:val="part_cf004938bc1e4c0d95ae675e52d0d369"/>
                <w:lock w:val="sdtLocked"/>
                <w:richText/>
              </w:sdtPr>
              <w:sdtContent>
                <w:p>
                  <w:pPr>
                    <w:widowControl w:val="0"/>
                    <w:spacing w:line="360" w:lineRule="auto"/>
                    <w:ind w:firstLine="720"/>
                    <w:jc w:val="both"/>
                    <w:rPr>
                      <w:szCs w:val="24"/>
                      <w:lang w:eastAsia="lt-LT"/>
                    </w:rPr>
                  </w:pPr>
                  <w:r>
                    <w:rPr>
                      <w:szCs w:val="24"/>
                      <w:lang w:eastAsia="lt-LT"/>
                    </w:rPr>
                    <w:t>Viešosios įstaigos, kurių savininkė ar dalininkė yra valstybė ar savivaldybės ir kurioms viešojo administravimo įgaliojimai buvo suteikti iki šio įstatymo įsigaliojimo, toliau vykdo suteiktus viešojo administravimo įgaliojimus pagal iki šio įstatymo įsigaliojimo nustatytą mastą ir formą.</w:t>
                  </w:r>
                </w:p>
                <w:p>
                  <w:pPr>
                    <w:spacing w:line="360" w:lineRule="auto"/>
                    <w:ind w:firstLine="720"/>
                    <w:jc w:val="both"/>
                  </w:pPr>
                </w:p>
              </w:sdtContent>
            </w:sdt>
          </w:sdtContent>
        </w:sdt>
        <w:sdt>
          <w:sdtPr>
            <w:alias w:val="signatura"/>
            <w:tag w:val="part_aa0ed7ac760a4edb9b0530f000aa15c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12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B958CBB-7755-4515-9E65-2D7DB1B951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0862b980c8a4a028659f884d952a88e" PartId="c6fa1f264ee847f3a215f40edbc1c47c">
    <Part Type="straipsnis" Nr="1" Abbr="1 str." Title="5 straipsnio pakeitimas" DocPartId="ec9c9996cf634b138969106806e8cefe" PartId="102a586c30034cbd8e17841da62b3ae8">
      <Part Type="strDalis" Nr="1" Abbr="1 str. 1 d." DocPartId="e93e5a1dcb87412fb87266e3270da93a" PartId="4cd724997241446cbe96913dce25214b">
        <Part Type="citata" DocPartId="2b054092222349f48360154f12512e59" PartId="69b727436c8d41b586108b42b90dd703">
          <Part Type="strDalis" Nr="1" Abbr="1 d." DocPartId="2a0f2c95abe54bd1ae798ec6771d1aa5" PartId="5d7a3e8364bb498daf9d8e5174f04946">
            <Part Type="strPunktas" Nr="1" Abbr="1 d. 1 p." DocPartId="83ab4c4ce0b14823b54d0ff5958ad97c" PartId="5f31a3f50f8d4fd8ab04155738be8378">
              <Part Type="strPapunktis" Nr="a" Abbr="1 d. 1 p. a pp." DocPartId="e5c6884cee9a48019efff474a1a0e425" PartId="518778ea34224d69a1217c7a0baf31b7"/>
              <Part Type="strPapunktis" Nr="b" Abbr="1 d. 1 p. b pp." DocPartId="b2777eaff3d34629bb73e82220871773" PartId="dddb9cac9c014002a4d2b43e58a0e648"/>
            </Part>
            <Part Type="strPunktas" Nr="2" Abbr="1 d. 2 p." DocPartId="8619fc6ac18246619da5ec648c5a2df5" PartId="fca1dc0617eb480786853094afafcea6">
              <Part Type="strPapunktis" Nr="a" Abbr="1 d. 2 p. a pp." DocPartId="76c700db09154fec805121c0b577b4f8" PartId="c79420828d864c02bdf9f5699caac286"/>
              <Part Type="strPapunktis" Nr="b" Abbr="1 d. 2 p. b pp." DocPartId="59dbca75aa4849f9b6b9a08a5f92d816" PartId="188e9b5a5ad64bbbaa3455faacb88425"/>
            </Part>
            <Part Type="strPunktas" Nr="3" Abbr="1 d. 3 p." DocPartId="448ce0439f4b410aabce0544bee7a50f" PartId="a59288b6ece04cfd93484d13e92ba5dd"/>
            <Part Type="strPunktas" Nr="4" Abbr="1 d. 4 p." DocPartId="1c5e3932569f4278a277535b3894b140" PartId="697270b236d34864980b10354a6da989"/>
          </Part>
        </Part>
      </Part>
    </Part>
    <Part Type="straipsnis" Nr="2" Abbr="2 str." Title="Įstatymo taikymas" DocPartId="2afc6695fc0e4038b81890c1dd277874" PartId="7e7472350d49463ea612c8a3a1bdfe61">
      <Part Type="strDalis" Nr="1" Abbr="2 str. 1 d." DocPartId="a790b1b3c4a24304901ad87b6492f50b" PartId="cf004938bc1e4c0d95ae675e52d0d369"/>
    </Part>
    <Part Type="signatura" DocPartId="e862fee87f46428b846884ce848a67e6" PartId="aa0ed7ac760a4edb9b0530f000aa15cd"/>
  </Part>
</Parts>
</file>

<file path=customXml/itemProps1.xml><?xml version="1.0" encoding="utf-8"?>
<ds:datastoreItem xmlns:ds="http://schemas.openxmlformats.org/officeDocument/2006/customXml" ds:itemID="{722B3875-A689-4763-8002-09F156C6A1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401</Words>
  <Characters>3037</Characters>
  <Application>Microsoft Office Word</Application>
  <DocSecurity>4</DocSecurity>
  <Lines>60</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3416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2022-01-28T06:49:00Z</dcterms:created>
  <dc:creator>MOZERĖ Dainora</dc:creator>
  <lastModifiedBy>adlibuser</lastModifiedBy>
  <lastPrinted>2004-12-10T05:45:00Z</lastPrinted>
  <dcterms:modified xsi:type="dcterms:W3CDTF">2022-01-28T06:49:00Z</dcterms:modified>
  <revision>2</revision>
</coreProperties>
</file>