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40508" w14:textId="77777777" w:rsidR="0056293D" w:rsidRDefault="0056293D">
      <w:pPr>
        <w:tabs>
          <w:tab w:val="center" w:pos="4819"/>
          <w:tab w:val="right" w:pos="9638"/>
        </w:tabs>
        <w:jc w:val="right"/>
        <w:rPr>
          <w:szCs w:val="24"/>
        </w:rPr>
      </w:pPr>
    </w:p>
    <w:p w14:paraId="0482AB2B" w14:textId="2345B667" w:rsidR="0056293D" w:rsidRDefault="004B58FF">
      <w:pPr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6D7477CE" wp14:editId="28250C1A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2AB2C" w14:textId="77777777" w:rsidR="0056293D" w:rsidRDefault="004B5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MIESTO SAVIVALDYBĖS</w:t>
      </w:r>
    </w:p>
    <w:p w14:paraId="0482AB2D" w14:textId="77777777" w:rsidR="0056293D" w:rsidRDefault="004B5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TARYBA</w:t>
      </w:r>
    </w:p>
    <w:p w14:paraId="0482AB2F" w14:textId="77777777" w:rsidR="0056293D" w:rsidRDefault="0056293D">
      <w:pPr>
        <w:jc w:val="center"/>
        <w:rPr>
          <w:szCs w:val="24"/>
        </w:rPr>
      </w:pPr>
    </w:p>
    <w:p w14:paraId="0482AB30" w14:textId="77777777" w:rsidR="0056293D" w:rsidRPr="004B58FF" w:rsidRDefault="004B58FF">
      <w:pPr>
        <w:jc w:val="center"/>
        <w:rPr>
          <w:b/>
          <w:szCs w:val="24"/>
        </w:rPr>
      </w:pPr>
      <w:r w:rsidRPr="004B58FF">
        <w:rPr>
          <w:b/>
          <w:szCs w:val="24"/>
        </w:rPr>
        <w:t>SPRENDIMAS</w:t>
      </w:r>
    </w:p>
    <w:p w14:paraId="0482AB31" w14:textId="77777777" w:rsidR="0056293D" w:rsidRPr="004B58FF" w:rsidRDefault="004B58FF">
      <w:pPr>
        <w:jc w:val="center"/>
        <w:rPr>
          <w:b/>
          <w:szCs w:val="24"/>
        </w:rPr>
      </w:pPr>
      <w:r w:rsidRPr="004B58FF">
        <w:rPr>
          <w:b/>
          <w:szCs w:val="24"/>
        </w:rPr>
        <w:t>DĖL TARYBOS 2019-06-19 SPRENDIMO NR. 1-94 „DĖL SOCIALINĖS PARAMOS MOKINIAMS TEIKIMO VILNIAUS MIESTO SAVIVALDYBĖJE“ PAKEITIMO</w:t>
      </w:r>
    </w:p>
    <w:p w14:paraId="070ECC7A" w14:textId="77777777" w:rsidR="0056293D" w:rsidRDefault="0056293D">
      <w:pPr>
        <w:jc w:val="center"/>
        <w:rPr>
          <w:szCs w:val="24"/>
        </w:rPr>
      </w:pPr>
    </w:p>
    <w:p w14:paraId="5DC7201D" w14:textId="67246E4D" w:rsidR="0056293D" w:rsidRDefault="004B58FF">
      <w:pPr>
        <w:jc w:val="center"/>
        <w:rPr>
          <w:szCs w:val="24"/>
        </w:rPr>
      </w:pPr>
      <w:r>
        <w:rPr>
          <w:szCs w:val="24"/>
        </w:rPr>
        <w:t>2019 m. lapkričio 6 d.   Nr. 1-281</w:t>
      </w:r>
    </w:p>
    <w:p w14:paraId="3B27D06D" w14:textId="77777777" w:rsidR="0056293D" w:rsidRDefault="004B58FF">
      <w:pPr>
        <w:jc w:val="center"/>
        <w:rPr>
          <w:szCs w:val="24"/>
        </w:rPr>
      </w:pPr>
      <w:r>
        <w:rPr>
          <w:szCs w:val="24"/>
        </w:rPr>
        <w:t>Vilnius</w:t>
      </w:r>
    </w:p>
    <w:p w14:paraId="0173C1EA" w14:textId="77777777" w:rsidR="0056293D" w:rsidRDefault="0056293D">
      <w:pPr>
        <w:jc w:val="center"/>
        <w:rPr>
          <w:szCs w:val="24"/>
        </w:rPr>
      </w:pPr>
    </w:p>
    <w:p w14:paraId="4CF30CFA" w14:textId="77777777" w:rsidR="004B58FF" w:rsidRDefault="004B58FF">
      <w:pPr>
        <w:jc w:val="center"/>
        <w:rPr>
          <w:szCs w:val="24"/>
        </w:rPr>
      </w:pPr>
    </w:p>
    <w:p w14:paraId="252F0AA5" w14:textId="77777777" w:rsidR="0056293D" w:rsidRDefault="004B58FF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Vadovaudamasi Lietuvos </w:t>
      </w:r>
      <w:r>
        <w:rPr>
          <w:szCs w:val="24"/>
        </w:rPr>
        <w:t>Respublikos vietos savivaldos įstatymo 18 straipsnio 1 dalimi, Vilniaus miesto savivaldybės taryba n u s p r e n d ž i a:</w:t>
      </w:r>
    </w:p>
    <w:p w14:paraId="18B822E7" w14:textId="2EF79A51" w:rsidR="0056293D" w:rsidRDefault="004B58FF">
      <w:pPr>
        <w:tabs>
          <w:tab w:val="left" w:pos="1134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  <w:t>Pakeisti Socialinės paramos mokiniams teikimo tvarkos aprašą, patvirtintą Vilniaus miesto savivaldybės tarybos 2019 m. birželio</w:t>
      </w:r>
      <w:r>
        <w:rPr>
          <w:szCs w:val="24"/>
        </w:rPr>
        <w:t xml:space="preserve"> 19 d. sprendimu Nr. 1-94 „Dėl socialinės paramos mokiniams teikimo Vilniaus miesto savivaldybėje“:</w:t>
      </w:r>
    </w:p>
    <w:p w14:paraId="6B1FABEA" w14:textId="7D532956" w:rsidR="0056293D" w:rsidRDefault="004B58FF">
      <w:pPr>
        <w:tabs>
          <w:tab w:val="left" w:pos="1276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</w:t>
      </w:r>
      <w:r>
        <w:rPr>
          <w:szCs w:val="24"/>
        </w:rPr>
        <w:tab/>
        <w:t>išdėstyti 4 punktą taip:</w:t>
      </w:r>
    </w:p>
    <w:p w14:paraId="39133275" w14:textId="77777777" w:rsidR="0056293D" w:rsidRDefault="004B58FF">
      <w:pPr>
        <w:tabs>
          <w:tab w:val="left" w:pos="709"/>
        </w:tabs>
        <w:spacing w:line="360" w:lineRule="auto"/>
        <w:ind w:firstLine="851"/>
        <w:jc w:val="both"/>
        <w:rPr>
          <w:color w:val="000000"/>
          <w:szCs w:val="24"/>
          <w:lang w:eastAsia="lt-LT"/>
        </w:rPr>
      </w:pPr>
      <w:r>
        <w:rPr>
          <w:szCs w:val="24"/>
        </w:rPr>
        <w:t>„</w:t>
      </w:r>
      <w:r>
        <w:rPr>
          <w:szCs w:val="24"/>
        </w:rPr>
        <w:t>4</w:t>
      </w:r>
      <w:r>
        <w:rPr>
          <w:szCs w:val="24"/>
        </w:rPr>
        <w:t xml:space="preserve">. </w:t>
      </w:r>
      <w:r>
        <w:rPr>
          <w:color w:val="000000"/>
          <w:szCs w:val="24"/>
          <w:lang w:eastAsia="lt-LT"/>
        </w:rPr>
        <w:t>Tvarkos aprašu privalo vadovautis Vilniaus miesto savivaldybės administracijos (toliau – Administracija) Socialinių iš</w:t>
      </w:r>
      <w:r>
        <w:rPr>
          <w:color w:val="000000"/>
          <w:szCs w:val="24"/>
          <w:lang w:eastAsia="lt-LT"/>
        </w:rPr>
        <w:t>mokų skyrius (toliau – Socialinių išmokų skyrius), Administracijos</w:t>
      </w:r>
      <w:r>
        <w:rPr>
          <w:szCs w:val="24"/>
        </w:rPr>
        <w:t xml:space="preserve"> </w:t>
      </w:r>
      <w:r>
        <w:rPr>
          <w:color w:val="000000"/>
          <w:szCs w:val="24"/>
          <w:lang w:eastAsia="lt-LT"/>
        </w:rPr>
        <w:t xml:space="preserve">Švietimo aplinkos skyrius (toliau – Švietimo aplinkos skyrius), Savivaldybės įsteigtos </w:t>
      </w:r>
      <w:r>
        <w:rPr>
          <w:szCs w:val="24"/>
        </w:rPr>
        <w:t>bendrojo ugdymo mokyklos, profesinio mokymo įstaigos, ikimokyklinio ugdymo mokyklos ar kiti švietimo t</w:t>
      </w:r>
      <w:r>
        <w:rPr>
          <w:szCs w:val="24"/>
        </w:rPr>
        <w:t xml:space="preserve">eikėjai (išskyrus laisvąjį mokytoją) </w:t>
      </w:r>
      <w:r>
        <w:rPr>
          <w:color w:val="000000"/>
          <w:szCs w:val="24"/>
          <w:lang w:eastAsia="lt-LT"/>
        </w:rPr>
        <w:t xml:space="preserve">ir įstatymų nustatytais atvejais Savivaldybės teritorijoje įsteigtos </w:t>
      </w:r>
      <w:r>
        <w:rPr>
          <w:szCs w:val="24"/>
        </w:rPr>
        <w:t>valstybinės mokyklos bei</w:t>
      </w:r>
      <w:r>
        <w:rPr>
          <w:color w:val="000000"/>
          <w:szCs w:val="24"/>
          <w:lang w:eastAsia="lt-LT"/>
        </w:rPr>
        <w:t xml:space="preserve"> nevalstybinės</w:t>
      </w:r>
      <w:r>
        <w:rPr>
          <w:szCs w:val="24"/>
        </w:rPr>
        <w:t xml:space="preserve"> bendrojo ugdymo mokyklos, profesinio mokymo įstaigos, ikimokyklinio ugdymo mokyklos ar kiti švietimo teikėjai (</w:t>
      </w:r>
      <w:r>
        <w:rPr>
          <w:szCs w:val="24"/>
        </w:rPr>
        <w:t>išskyrus laisvąjį mokytoją) (toliau kartu – mokyklos arba mokykla)</w:t>
      </w:r>
      <w:r>
        <w:rPr>
          <w:color w:val="000000"/>
          <w:szCs w:val="24"/>
          <w:lang w:eastAsia="lt-LT"/>
        </w:rPr>
        <w:t>.“;</w:t>
      </w:r>
    </w:p>
    <w:p w14:paraId="3083957C" w14:textId="349658FB" w:rsidR="0056293D" w:rsidRDefault="004B58FF">
      <w:pPr>
        <w:tabs>
          <w:tab w:val="left" w:pos="1276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</w:t>
      </w:r>
      <w:r>
        <w:rPr>
          <w:szCs w:val="24"/>
        </w:rPr>
        <w:tab/>
        <w:t>išdėstyti 10 punktą taip:</w:t>
      </w:r>
    </w:p>
    <w:p w14:paraId="430A8DDD" w14:textId="77777777" w:rsidR="0056293D" w:rsidRDefault="004B58FF">
      <w:pPr>
        <w:tabs>
          <w:tab w:val="left" w:pos="851"/>
        </w:tabs>
        <w:suppressAutoHyphens/>
        <w:spacing w:line="360" w:lineRule="auto"/>
        <w:ind w:firstLine="851"/>
        <w:jc w:val="both"/>
        <w:rPr>
          <w:color w:val="000000"/>
          <w:szCs w:val="24"/>
          <w:lang w:eastAsia="ar-SA"/>
        </w:rPr>
      </w:pPr>
      <w:r>
        <w:rPr>
          <w:szCs w:val="24"/>
        </w:rPr>
        <w:t>„</w:t>
      </w:r>
      <w:r>
        <w:rPr>
          <w:szCs w:val="24"/>
        </w:rPr>
        <w:t>10</w:t>
      </w:r>
      <w:r>
        <w:rPr>
          <w:szCs w:val="24"/>
        </w:rPr>
        <w:t xml:space="preserve">. </w:t>
      </w:r>
      <w:r>
        <w:rPr>
          <w:color w:val="000000"/>
          <w:szCs w:val="24"/>
          <w:lang w:eastAsia="ar-SA"/>
        </w:rPr>
        <w:t xml:space="preserve">Administracija, atsižvelgdama į turimą valstybės biudžeto socialinei paramai mokiniams finansavimą ir </w:t>
      </w:r>
      <w:r>
        <w:rPr>
          <w:szCs w:val="24"/>
        </w:rPr>
        <w:t xml:space="preserve">neviršydama 6 procentų lėšų, skirtų Administracijai  iš valstybės biudžeto specialiosios tikslinės dotacijos </w:t>
      </w:r>
      <w:r>
        <w:rPr>
          <w:color w:val="000000"/>
          <w:szCs w:val="24"/>
          <w:lang w:eastAsia="ar-SA"/>
        </w:rPr>
        <w:t>Įstatymo 4 straipsnio 2 dalies 1, 2 ir 4 punktuose numatytoms išlaidoms finansuoti (toliau – lėšos paramai išimties atveju mokėti), arba į šiam tik</w:t>
      </w:r>
      <w:r>
        <w:rPr>
          <w:color w:val="000000"/>
          <w:szCs w:val="24"/>
          <w:lang w:eastAsia="ar-SA"/>
        </w:rPr>
        <w:t xml:space="preserve">slui papildomai skirtų </w:t>
      </w:r>
      <w:r>
        <w:rPr>
          <w:color w:val="000000"/>
          <w:szCs w:val="24"/>
          <w:lang w:eastAsia="lt-LT"/>
        </w:rPr>
        <w:t>nepanaudotų Savivaldybės biudžeto lėšų piniginei socialinei paramai skaičiuoti ir mokėti dydį,</w:t>
      </w:r>
      <w:r>
        <w:rPr>
          <w:color w:val="000000"/>
          <w:szCs w:val="24"/>
          <w:lang w:eastAsia="ar-SA"/>
        </w:rPr>
        <w:t xml:space="preserve"> gali skirti mokiniams nemokamą maitinimą ir (ar) paramą mokinio reikmenims įsigyti, jeigu vidutinės pajamos vienam asmeniui per mėnesį yra</w:t>
      </w:r>
      <w:r>
        <w:rPr>
          <w:color w:val="000000"/>
          <w:szCs w:val="24"/>
          <w:lang w:eastAsia="ar-SA"/>
        </w:rPr>
        <w:t xml:space="preserve"> mažesnės kaip 2,5 VRP dydžio, </w:t>
      </w:r>
      <w:r>
        <w:rPr>
          <w:bCs/>
          <w:szCs w:val="24"/>
          <w:lang w:eastAsia="ar-SA"/>
        </w:rPr>
        <w:t xml:space="preserve">patikrinus bendrai gyvenančių asmenų ar vieno gyvenančio asmens gyvenimo sąlygas ir esant buities ir </w:t>
      </w:r>
      <w:r>
        <w:rPr>
          <w:bCs/>
          <w:szCs w:val="24"/>
          <w:lang w:eastAsia="ar-SA"/>
        </w:rPr>
        <w:lastRenderedPageBreak/>
        <w:t>gyvenimo sąlygų patikrinimo aktą</w:t>
      </w:r>
      <w:r>
        <w:rPr>
          <w:szCs w:val="24"/>
        </w:rPr>
        <w:t xml:space="preserve"> surašiusio asmens rekomendacijai skirti paramą, šiais išimties </w:t>
      </w:r>
      <w:r>
        <w:rPr>
          <w:color w:val="000000"/>
          <w:szCs w:val="24"/>
          <w:lang w:eastAsia="ar-SA"/>
        </w:rPr>
        <w:t>atvejais:</w:t>
      </w:r>
      <w:r>
        <w:rPr>
          <w:szCs w:val="24"/>
        </w:rPr>
        <w:t xml:space="preserve"> </w:t>
      </w:r>
    </w:p>
    <w:p w14:paraId="06F12CA2" w14:textId="77777777" w:rsidR="0056293D" w:rsidRDefault="004B58FF">
      <w:pPr>
        <w:tabs>
          <w:tab w:val="left" w:pos="709"/>
        </w:tabs>
        <w:suppressAutoHyphens/>
        <w:spacing w:line="360" w:lineRule="auto"/>
        <w:ind w:firstLine="851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10.1</w:t>
      </w:r>
      <w:r>
        <w:rPr>
          <w:color w:val="000000"/>
          <w:szCs w:val="24"/>
          <w:lang w:eastAsia="ar-SA"/>
        </w:rPr>
        <w:t xml:space="preserve">. </w:t>
      </w:r>
      <w:r>
        <w:rPr>
          <w:color w:val="000000"/>
          <w:szCs w:val="24"/>
          <w:lang w:eastAsia="ar-SA"/>
        </w:rPr>
        <w:t>nelaimingo atsitikimo – nukentėjus nuo gaisro, padariusio žalą gyvenamajam būstui, kuriame bendrai gyvenantys asmenys ar vienas gyvenantis asmuo deklaruoja gyvenamąją vietą ir jeigu tai yra vienintelis nuosavybės teise priklausantis gyvenamasis būstas (įvy</w:t>
      </w:r>
      <w:r>
        <w:rPr>
          <w:color w:val="000000"/>
          <w:szCs w:val="24"/>
          <w:lang w:eastAsia="ar-SA"/>
        </w:rPr>
        <w:t>kus ne daugiau kaip prieš 6 mėnesius iki prašymo-paraiškos pateikimo dienos);</w:t>
      </w:r>
    </w:p>
    <w:p w14:paraId="6D49F20E" w14:textId="77777777" w:rsidR="0056293D" w:rsidRDefault="004B58FF">
      <w:pPr>
        <w:tabs>
          <w:tab w:val="left" w:pos="709"/>
        </w:tabs>
        <w:suppressAutoHyphens/>
        <w:spacing w:line="360" w:lineRule="auto"/>
        <w:ind w:firstLine="851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10.2</w:t>
      </w:r>
      <w:r>
        <w:rPr>
          <w:color w:val="000000"/>
          <w:szCs w:val="24"/>
          <w:lang w:eastAsia="ar-SA"/>
        </w:rPr>
        <w:t>. netekus maitintojo (ne daugiau kaip prieš 6 mėnesius iki prašymo-paraiškos pateikimo dienos);</w:t>
      </w:r>
    </w:p>
    <w:p w14:paraId="48D7ED8F" w14:textId="77777777" w:rsidR="0056293D" w:rsidRDefault="004B58FF">
      <w:pPr>
        <w:tabs>
          <w:tab w:val="left" w:pos="709"/>
        </w:tabs>
        <w:suppressAutoHyphens/>
        <w:spacing w:line="360" w:lineRule="auto"/>
        <w:ind w:firstLine="851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10.3</w:t>
      </w:r>
      <w:r>
        <w:rPr>
          <w:color w:val="000000"/>
          <w:szCs w:val="24"/>
          <w:lang w:eastAsia="ar-SA"/>
        </w:rPr>
        <w:t xml:space="preserve">. kai bendrai gyvenantys asmenys augina tris ir daugiau vaikų </w:t>
      </w:r>
      <w:r>
        <w:rPr>
          <w:szCs w:val="24"/>
        </w:rPr>
        <w:t>ir v</w:t>
      </w:r>
      <w:r>
        <w:rPr>
          <w:szCs w:val="24"/>
        </w:rPr>
        <w:t>ienas iš bendrai gyvenančių asmenų (vienas iš tėvų ar vaikų) yra neįgalus</w:t>
      </w:r>
      <w:r>
        <w:rPr>
          <w:color w:val="000000"/>
          <w:szCs w:val="24"/>
          <w:lang w:eastAsia="ar-SA"/>
        </w:rPr>
        <w:t>;</w:t>
      </w:r>
    </w:p>
    <w:p w14:paraId="1EC16523" w14:textId="77777777" w:rsidR="0056293D" w:rsidRDefault="004B58FF">
      <w:pPr>
        <w:spacing w:line="360" w:lineRule="auto"/>
        <w:ind w:firstLine="851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10.4</w:t>
      </w:r>
      <w:r>
        <w:rPr>
          <w:color w:val="000000"/>
          <w:szCs w:val="24"/>
          <w:lang w:eastAsia="ar-SA"/>
        </w:rPr>
        <w:t>. kai mokinys patiria socialinę riziką arba mokinį augina bendrai gyvenantys asmenys, patiriantys socialinę riziką.</w:t>
      </w:r>
      <w:r>
        <w:rPr>
          <w:szCs w:val="24"/>
          <w:lang w:eastAsia="ar-SA"/>
        </w:rPr>
        <w:t>“;</w:t>
      </w:r>
      <w:r>
        <w:rPr>
          <w:color w:val="000000"/>
          <w:szCs w:val="24"/>
          <w:lang w:eastAsia="lt-LT"/>
        </w:rPr>
        <w:t xml:space="preserve"> </w:t>
      </w:r>
    </w:p>
    <w:p w14:paraId="7C51AF8D" w14:textId="714D137A" w:rsidR="0056293D" w:rsidRDefault="004B58FF">
      <w:pPr>
        <w:tabs>
          <w:tab w:val="left" w:pos="1276"/>
        </w:tabs>
        <w:spacing w:line="360" w:lineRule="auto"/>
        <w:ind w:firstLine="851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1.3</w:t>
      </w:r>
      <w:r>
        <w:rPr>
          <w:color w:val="000000"/>
          <w:szCs w:val="24"/>
          <w:lang w:eastAsia="ar-SA"/>
        </w:rPr>
        <w:t>.</w:t>
      </w:r>
      <w:r>
        <w:rPr>
          <w:color w:val="000000"/>
          <w:szCs w:val="24"/>
          <w:lang w:eastAsia="ar-SA"/>
        </w:rPr>
        <w:tab/>
        <w:t>pripažinti netekusiais galios 11, 12 ir</w:t>
      </w:r>
      <w:r>
        <w:rPr>
          <w:color w:val="000000"/>
          <w:szCs w:val="24"/>
          <w:lang w:eastAsia="ar-SA"/>
        </w:rPr>
        <w:t xml:space="preserve"> 13 punktus;</w:t>
      </w:r>
    </w:p>
    <w:p w14:paraId="64C8AB22" w14:textId="0D7751D8" w:rsidR="0056293D" w:rsidRDefault="004B58FF">
      <w:pPr>
        <w:tabs>
          <w:tab w:val="left" w:pos="851"/>
          <w:tab w:val="left" w:pos="1276"/>
        </w:tabs>
        <w:suppressAutoHyphens/>
        <w:spacing w:line="360" w:lineRule="auto"/>
        <w:ind w:firstLine="85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1.4</w:t>
      </w:r>
      <w:r>
        <w:rPr>
          <w:szCs w:val="24"/>
          <w:lang w:eastAsia="ar-SA"/>
        </w:rPr>
        <w:t>.</w:t>
      </w:r>
      <w:r>
        <w:rPr>
          <w:szCs w:val="24"/>
          <w:lang w:eastAsia="ar-SA"/>
        </w:rPr>
        <w:tab/>
      </w:r>
      <w:r>
        <w:rPr>
          <w:szCs w:val="24"/>
        </w:rPr>
        <w:t>išdėstyti 14 punktą taip:</w:t>
      </w:r>
      <w:r>
        <w:rPr>
          <w:szCs w:val="24"/>
        </w:rPr>
        <w:tab/>
      </w:r>
    </w:p>
    <w:p w14:paraId="015A1B63" w14:textId="77777777" w:rsidR="0056293D" w:rsidRDefault="004B58FF">
      <w:pPr>
        <w:tabs>
          <w:tab w:val="left" w:pos="993"/>
          <w:tab w:val="left" w:pos="1134"/>
          <w:tab w:val="left" w:pos="1418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14</w:t>
      </w:r>
      <w:r>
        <w:rPr>
          <w:szCs w:val="24"/>
        </w:rPr>
        <w:t>. Tvarkos aprašo 9, 10 ir 29 punktuose nustatytais atvejais bendrai gyvenančių asmenų ar vieno gyvenančio asmens gyvenimo sąlygos tikrinamos ir buities ir gyvenimo sąlygų patikrinimo aktas surašomas Adm</w:t>
      </w:r>
      <w:r>
        <w:rPr>
          <w:szCs w:val="24"/>
        </w:rPr>
        <w:t>inistracijos direktoriaus nustatyta tvarka.“;</w:t>
      </w:r>
    </w:p>
    <w:p w14:paraId="78D944E2" w14:textId="0EFD52BB" w:rsidR="0056293D" w:rsidRDefault="004B58FF">
      <w:pPr>
        <w:tabs>
          <w:tab w:val="left" w:pos="1276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1.5</w:t>
      </w:r>
      <w:r>
        <w:rPr>
          <w:szCs w:val="24"/>
        </w:rPr>
        <w:t>.</w:t>
      </w:r>
      <w:r>
        <w:rPr>
          <w:szCs w:val="24"/>
        </w:rPr>
        <w:tab/>
        <w:t>išdėstyti 17 punkto pirmąją pastraipą taip:</w:t>
      </w:r>
    </w:p>
    <w:p w14:paraId="42347A7A" w14:textId="77777777" w:rsidR="0056293D" w:rsidRDefault="004B58FF">
      <w:pPr>
        <w:tabs>
          <w:tab w:val="left" w:pos="993"/>
          <w:tab w:val="left" w:pos="1134"/>
          <w:tab w:val="left" w:pos="1418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17</w:t>
      </w:r>
      <w:r>
        <w:rPr>
          <w:szCs w:val="24"/>
        </w:rPr>
        <w:t>. Pareiškėjas, kreipdamasis dėl paramos, Socialinių išmokų skyriui pateikia užpildytą Lietuvos Respublikos socialinės apsaugos ir darbo ministro (to</w:t>
      </w:r>
      <w:r>
        <w:rPr>
          <w:szCs w:val="24"/>
        </w:rPr>
        <w:t>liau – SAD ministras) patvirtintos formos prašymą-paraišką gauti socialinę paramą mokiniams (toliau – prašymas-paraiška) ir prideda dokumentus, patvirtinančius bendrai gyvenančių asmenų ar vieno gyvenančio asmens  teisę į paramą:“;</w:t>
      </w:r>
    </w:p>
    <w:p w14:paraId="724B80BF" w14:textId="1539F1F7" w:rsidR="0056293D" w:rsidRDefault="004B58FF">
      <w:pPr>
        <w:tabs>
          <w:tab w:val="left" w:pos="1276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1.6</w:t>
      </w:r>
      <w:r>
        <w:rPr>
          <w:szCs w:val="24"/>
        </w:rPr>
        <w:t>.</w:t>
      </w:r>
      <w:r>
        <w:rPr>
          <w:szCs w:val="24"/>
        </w:rPr>
        <w:tab/>
        <w:t>išdėstyti 3</w:t>
      </w:r>
      <w:r>
        <w:rPr>
          <w:szCs w:val="24"/>
        </w:rPr>
        <w:t>0.4 papunktį taip:</w:t>
      </w:r>
    </w:p>
    <w:p w14:paraId="559704D7" w14:textId="77777777" w:rsidR="0056293D" w:rsidRDefault="004B58FF">
      <w:pPr>
        <w:tabs>
          <w:tab w:val="left" w:pos="851"/>
        </w:tabs>
        <w:suppressAutoHyphens/>
        <w:spacing w:line="360" w:lineRule="auto"/>
        <w:ind w:firstLine="851"/>
        <w:jc w:val="both"/>
        <w:rPr>
          <w:szCs w:val="24"/>
          <w:lang w:eastAsia="ar-SA"/>
        </w:rPr>
      </w:pPr>
      <w:r>
        <w:rPr>
          <w:szCs w:val="24"/>
        </w:rPr>
        <w:t>„</w:t>
      </w:r>
      <w:r>
        <w:rPr>
          <w:szCs w:val="24"/>
        </w:rPr>
        <w:t>30.4</w:t>
      </w:r>
      <w:r>
        <w:rPr>
          <w:szCs w:val="24"/>
        </w:rPr>
        <w:t xml:space="preserve">. pateikus prašymą-paraišką dėl nemokamo maitinimo skyrimo Tvarkos aprašo 10 punkte nustatytais atvejais, – nuo informacijos apie priimtą sprendimą dėl nemokamo maitinimo skyrimo gavimo mokykloje kitos dienos iki </w:t>
      </w:r>
      <w:r>
        <w:rPr>
          <w:szCs w:val="24"/>
          <w:lang w:eastAsia="ar-SA"/>
        </w:rPr>
        <w:t>mokslo metų pabai</w:t>
      </w:r>
      <w:r>
        <w:rPr>
          <w:szCs w:val="24"/>
          <w:lang w:eastAsia="ar-SA"/>
        </w:rPr>
        <w:t>gos.“;</w:t>
      </w:r>
    </w:p>
    <w:p w14:paraId="1DA183D9" w14:textId="39E8C7B8" w:rsidR="0056293D" w:rsidRDefault="004B58FF">
      <w:pPr>
        <w:tabs>
          <w:tab w:val="left" w:pos="1276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1.7</w:t>
      </w:r>
      <w:r>
        <w:rPr>
          <w:szCs w:val="24"/>
        </w:rPr>
        <w:t>.</w:t>
      </w:r>
      <w:r>
        <w:rPr>
          <w:szCs w:val="24"/>
        </w:rPr>
        <w:tab/>
        <w:t>išdėstyti 33 punktą taip:</w:t>
      </w:r>
    </w:p>
    <w:p w14:paraId="584BEA35" w14:textId="77777777" w:rsidR="0056293D" w:rsidRDefault="004B58FF">
      <w:pPr>
        <w:tabs>
          <w:tab w:val="left" w:pos="851"/>
          <w:tab w:val="left" w:pos="1134"/>
          <w:tab w:val="left" w:pos="1418"/>
          <w:tab w:val="left" w:pos="1701"/>
        </w:tabs>
        <w:overflowPunct w:val="0"/>
        <w:spacing w:line="360" w:lineRule="auto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„</w:t>
      </w:r>
      <w:r>
        <w:rPr>
          <w:color w:val="000000"/>
          <w:lang w:eastAsia="ar-SA"/>
        </w:rPr>
        <w:t>33</w:t>
      </w:r>
      <w:r>
        <w:rPr>
          <w:color w:val="000000"/>
          <w:lang w:eastAsia="ar-SA"/>
        </w:rPr>
        <w:t xml:space="preserve">. </w:t>
      </w:r>
      <w:r>
        <w:t xml:space="preserve">Paramos teikimas, įskaitant paramą, nurodytą Tvarkos aprašo 10 punkte, nutraukiamas paramos teikimo laikotarpiu nustačius aplinkybes, nurodytas Įstatymo 13 straipsnio 1 ir 2 dalyse. Sprendimą dėl paramos teikimo nutraukimo priima Socialinių išmokų skyrius </w:t>
      </w:r>
      <w:r>
        <w:rPr>
          <w:lang w:eastAsia="ar-SA"/>
        </w:rPr>
        <w:t xml:space="preserve">Paramos mokiniams skyrimo ir mokėjimo tvarkos aprašo </w:t>
      </w:r>
      <w:r>
        <w:t>nustatyta tvarka.</w:t>
      </w:r>
      <w:r>
        <w:rPr>
          <w:color w:val="000000"/>
          <w:lang w:eastAsia="ar-SA"/>
        </w:rPr>
        <w:t>“;</w:t>
      </w:r>
    </w:p>
    <w:p w14:paraId="7364CCF1" w14:textId="7C39DCD9" w:rsidR="0056293D" w:rsidRDefault="004B58FF">
      <w:pPr>
        <w:spacing w:line="360" w:lineRule="auto"/>
        <w:ind w:firstLine="851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1.8</w:t>
      </w:r>
      <w:r>
        <w:rPr>
          <w:color w:val="000000"/>
          <w:szCs w:val="24"/>
          <w:lang w:eastAsia="ar-SA"/>
        </w:rPr>
        <w:t>.</w:t>
      </w:r>
      <w:r>
        <w:rPr>
          <w:color w:val="000000"/>
          <w:szCs w:val="24"/>
          <w:lang w:eastAsia="ar-SA"/>
        </w:rPr>
        <w:tab/>
        <w:t>papildyti 33</w:t>
      </w:r>
      <w:r>
        <w:rPr>
          <w:color w:val="000000"/>
          <w:szCs w:val="24"/>
          <w:vertAlign w:val="superscript"/>
          <w:lang w:eastAsia="ar-SA"/>
        </w:rPr>
        <w:t>1</w:t>
      </w:r>
      <w:r>
        <w:rPr>
          <w:color w:val="000000"/>
          <w:szCs w:val="24"/>
          <w:lang w:eastAsia="ar-SA"/>
        </w:rPr>
        <w:t xml:space="preserve"> punktu ir išdėstyti jį taip: </w:t>
      </w:r>
    </w:p>
    <w:p w14:paraId="7D1723A5" w14:textId="77777777" w:rsidR="0056293D" w:rsidRDefault="004B58FF">
      <w:pPr>
        <w:spacing w:line="360" w:lineRule="auto"/>
        <w:ind w:firstLine="851"/>
        <w:jc w:val="both"/>
        <w:rPr>
          <w:szCs w:val="24"/>
          <w:lang w:eastAsia="ar-SA"/>
        </w:rPr>
      </w:pPr>
      <w:r>
        <w:rPr>
          <w:szCs w:val="24"/>
        </w:rPr>
        <w:t>„</w:t>
      </w:r>
      <w:r>
        <w:rPr>
          <w:szCs w:val="24"/>
        </w:rPr>
        <w:t>33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. Nemokamas maitinimas ir (ar) parama mokiniams, nustatyti Tvarkos aprašo 10 punkte, neskiriami, o paskirtas nemokamas maitinimas nutraukiamas </w:t>
      </w:r>
      <w:r>
        <w:rPr>
          <w:szCs w:val="24"/>
          <w:lang w:eastAsia="ar-SA"/>
        </w:rPr>
        <w:t xml:space="preserve">Administracijos direktoriaus </w:t>
      </w:r>
      <w:r>
        <w:rPr>
          <w:szCs w:val="24"/>
          <w:lang w:eastAsia="ar-SA"/>
        </w:rPr>
        <w:lastRenderedPageBreak/>
        <w:t>tvirtinamo Socialinės paramos mokiniams skyrimo ir mokėjimo tvarkos aprašo (toliau –</w:t>
      </w:r>
      <w:r>
        <w:rPr>
          <w:szCs w:val="24"/>
          <w:lang w:eastAsia="ar-SA"/>
        </w:rPr>
        <w:t xml:space="preserve"> Paramos mokiniams skyrimo ir mokėjimo tvarkos aprašas) nustatyta tvarka:</w:t>
      </w:r>
    </w:p>
    <w:p w14:paraId="7BBF78EF" w14:textId="77777777" w:rsidR="0056293D" w:rsidRDefault="004B58FF">
      <w:pPr>
        <w:spacing w:line="360" w:lineRule="auto"/>
        <w:ind w:firstLine="851"/>
        <w:jc w:val="both"/>
        <w:rPr>
          <w:szCs w:val="24"/>
          <w:lang w:eastAsia="ar-SA"/>
        </w:rPr>
      </w:pPr>
      <w:r>
        <w:rPr>
          <w:szCs w:val="24"/>
        </w:rPr>
        <w:t>33</w:t>
      </w:r>
      <w:r>
        <w:rPr>
          <w:szCs w:val="24"/>
          <w:vertAlign w:val="superscript"/>
        </w:rPr>
        <w:t>1</w:t>
      </w:r>
      <w:r>
        <w:rPr>
          <w:szCs w:val="24"/>
        </w:rPr>
        <w:t>.1</w:t>
      </w:r>
      <w:r>
        <w:rPr>
          <w:szCs w:val="24"/>
        </w:rPr>
        <w:t xml:space="preserve">. išnaudojus lėšas paramai išimties atveju mokėti; </w:t>
      </w:r>
    </w:p>
    <w:p w14:paraId="7B8F5CBC" w14:textId="77777777" w:rsidR="0056293D" w:rsidRDefault="004B58FF">
      <w:pPr>
        <w:spacing w:line="360" w:lineRule="auto"/>
        <w:ind w:firstLine="851"/>
        <w:jc w:val="both"/>
        <w:rPr>
          <w:color w:val="000000"/>
          <w:szCs w:val="24"/>
          <w:lang w:eastAsia="ar-SA"/>
        </w:rPr>
      </w:pPr>
      <w:r>
        <w:rPr>
          <w:szCs w:val="24"/>
        </w:rPr>
        <w:t>33</w:t>
      </w:r>
      <w:r>
        <w:rPr>
          <w:szCs w:val="24"/>
          <w:vertAlign w:val="superscript"/>
        </w:rPr>
        <w:t>1</w:t>
      </w:r>
      <w:r>
        <w:rPr>
          <w:szCs w:val="24"/>
        </w:rPr>
        <w:t>.2</w:t>
      </w:r>
      <w:r>
        <w:rPr>
          <w:szCs w:val="24"/>
        </w:rPr>
        <w:t>.</w:t>
      </w:r>
      <w:r>
        <w:rPr>
          <w:szCs w:val="24"/>
          <w:lang w:eastAsia="ar-SA"/>
        </w:rPr>
        <w:t xml:space="preserve"> išnaudojus papildomai skirtas nepanaudotas savivaldybės biudžeto lėšas piniginei socialinei paramai skaičiuoti i</w:t>
      </w:r>
      <w:r>
        <w:rPr>
          <w:szCs w:val="24"/>
          <w:lang w:eastAsia="ar-SA"/>
        </w:rPr>
        <w:t>r mokėti arba jų neskyrus.“;</w:t>
      </w:r>
      <w:r>
        <w:rPr>
          <w:color w:val="000000"/>
          <w:szCs w:val="24"/>
          <w:lang w:eastAsia="ar-SA"/>
        </w:rPr>
        <w:t xml:space="preserve"> </w:t>
      </w:r>
    </w:p>
    <w:p w14:paraId="45E59880" w14:textId="23AFD3C8" w:rsidR="0056293D" w:rsidRDefault="004B58FF">
      <w:pPr>
        <w:tabs>
          <w:tab w:val="left" w:pos="1134"/>
          <w:tab w:val="left" w:pos="1276"/>
        </w:tabs>
        <w:spacing w:line="360" w:lineRule="auto"/>
        <w:ind w:firstLine="851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1.9</w:t>
      </w:r>
      <w:r>
        <w:rPr>
          <w:color w:val="000000"/>
          <w:szCs w:val="24"/>
          <w:lang w:eastAsia="ar-SA"/>
        </w:rPr>
        <w:t>.</w:t>
      </w:r>
      <w:r>
        <w:rPr>
          <w:color w:val="000000"/>
          <w:szCs w:val="24"/>
          <w:lang w:eastAsia="ar-SA"/>
        </w:rPr>
        <w:tab/>
        <w:t xml:space="preserve">papildyti 41 punktu ir išdėstyti jį taip: </w:t>
      </w:r>
    </w:p>
    <w:p w14:paraId="14183840" w14:textId="77777777" w:rsidR="0056293D" w:rsidRDefault="004B58FF">
      <w:pPr>
        <w:spacing w:line="360" w:lineRule="auto"/>
        <w:ind w:firstLine="851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„</w:t>
      </w:r>
      <w:r>
        <w:rPr>
          <w:color w:val="000000"/>
          <w:szCs w:val="24"/>
          <w:lang w:eastAsia="ar-SA"/>
        </w:rPr>
        <w:t>41</w:t>
      </w:r>
      <w:r>
        <w:rPr>
          <w:color w:val="000000"/>
          <w:szCs w:val="24"/>
          <w:lang w:eastAsia="ar-SA"/>
        </w:rPr>
        <w:t>.</w:t>
      </w:r>
      <w:r>
        <w:rPr>
          <w:color w:val="000000"/>
          <w:szCs w:val="24"/>
          <w:lang w:eastAsia="lt-LT"/>
        </w:rPr>
        <w:t xml:space="preserve"> Išnaudojus lėšas paramai išimties atveju mokėti, Tvarkos aprašo 10 punkte nurodyta parama gali būti skiriama ir (ar) mokama iš nepanaudotų savivaldybės biudžeto </w:t>
      </w:r>
      <w:r>
        <w:rPr>
          <w:color w:val="000000"/>
          <w:szCs w:val="24"/>
          <w:lang w:eastAsia="lt-LT"/>
        </w:rPr>
        <w:t>lėšų piniginei socialinei paramai skaičiuoti ir mokėti.</w:t>
      </w:r>
      <w:r>
        <w:rPr>
          <w:color w:val="000000"/>
          <w:szCs w:val="24"/>
          <w:lang w:eastAsia="ar-SA"/>
        </w:rPr>
        <w:t>“</w:t>
      </w:r>
    </w:p>
    <w:p w14:paraId="0032A940" w14:textId="54C881FC" w:rsidR="0056293D" w:rsidRDefault="004B58FF">
      <w:pPr>
        <w:tabs>
          <w:tab w:val="left" w:pos="1134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>Pakeisti Mokinių nemokamo maitinimo Savivaldybės ir nevalstybinėse mokyklose tvarkos aprašą, patvirtintą Vilniaus miesto savivaldybės tarybos 2019 m. birželio 19 d. sprendimu Nr. 1-94 „D</w:t>
      </w:r>
      <w:r>
        <w:rPr>
          <w:szCs w:val="24"/>
        </w:rPr>
        <w:t>ėl socialinės paramos mokiniams teikimo Vilniaus miesto savivaldybėje“:</w:t>
      </w:r>
    </w:p>
    <w:p w14:paraId="32939FFE" w14:textId="089263F6" w:rsidR="0056293D" w:rsidRDefault="004B58FF">
      <w:pPr>
        <w:tabs>
          <w:tab w:val="left" w:pos="1134"/>
          <w:tab w:val="left" w:pos="1276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2.1</w:t>
      </w:r>
      <w:r>
        <w:rPr>
          <w:szCs w:val="24"/>
        </w:rPr>
        <w:t>.</w:t>
      </w:r>
      <w:r>
        <w:rPr>
          <w:szCs w:val="24"/>
        </w:rPr>
        <w:tab/>
        <w:t>išdėstyti 4 punktą taip:</w:t>
      </w:r>
    </w:p>
    <w:p w14:paraId="646D9F66" w14:textId="77777777" w:rsidR="0056293D" w:rsidRDefault="004B58FF">
      <w:pPr>
        <w:tabs>
          <w:tab w:val="left" w:pos="851"/>
          <w:tab w:val="left" w:pos="993"/>
        </w:tabs>
        <w:spacing w:line="360" w:lineRule="auto"/>
        <w:ind w:firstLine="851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 xml:space="preserve">. Tvarkos aprašu privalo vadovautis Vilniaus miesto savivaldybės administracijos (toliau </w:t>
      </w:r>
    </w:p>
    <w:p w14:paraId="5C890942" w14:textId="77777777" w:rsidR="0056293D" w:rsidRDefault="004B58FF">
      <w:pPr>
        <w:tabs>
          <w:tab w:val="left" w:pos="851"/>
          <w:tab w:val="left" w:pos="993"/>
        </w:tabs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– Administracija) </w:t>
      </w:r>
      <w:r>
        <w:rPr>
          <w:szCs w:val="24"/>
        </w:rPr>
        <w:t xml:space="preserve">Švietimo aplinkos skyrius (toliau – Švietimo aplinkos skyrius), </w:t>
      </w:r>
      <w:r>
        <w:rPr>
          <w:color w:val="000000"/>
          <w:szCs w:val="24"/>
          <w:lang w:eastAsia="lt-LT"/>
        </w:rPr>
        <w:t xml:space="preserve">Administracijos Socialinių išmokų skyrius (toliau – Socialinių išmokų skyrius), </w:t>
      </w:r>
      <w:r>
        <w:rPr>
          <w:szCs w:val="24"/>
        </w:rPr>
        <w:t xml:space="preserve">Administracijos Apskaitos skyrius (toliau – Apskaitos skyrius), </w:t>
      </w:r>
      <w:r>
        <w:rPr>
          <w:color w:val="000000"/>
          <w:szCs w:val="24"/>
          <w:lang w:eastAsia="lt-LT"/>
        </w:rPr>
        <w:t>biudžetinė įstaiga Vilniaus miesto socialinės pa</w:t>
      </w:r>
      <w:r>
        <w:rPr>
          <w:color w:val="000000"/>
          <w:szCs w:val="24"/>
          <w:lang w:eastAsia="lt-LT"/>
        </w:rPr>
        <w:t xml:space="preserve">ramos centras (toliau – Socialinės paramos centras), </w:t>
      </w:r>
      <w:r>
        <w:rPr>
          <w:szCs w:val="24"/>
        </w:rPr>
        <w:t xml:space="preserve">biudžetinė įstaiga „Biudžetinių įstaigų buhalterinė apskaita“ (toliau – BĮ „Biudžetinių įstaigų buhalterinė apskaita“), </w:t>
      </w:r>
      <w:r>
        <w:rPr>
          <w:color w:val="000000"/>
          <w:szCs w:val="24"/>
          <w:lang w:eastAsia="lt-LT"/>
        </w:rPr>
        <w:t xml:space="preserve">Vilniaus miesto savivaldybės (toliau – Savivaldybė) įsteigtos </w:t>
      </w:r>
      <w:r>
        <w:rPr>
          <w:szCs w:val="24"/>
        </w:rPr>
        <w:t>bendrojo ugdymo mokyk</w:t>
      </w:r>
      <w:r>
        <w:rPr>
          <w:szCs w:val="24"/>
        </w:rPr>
        <w:t xml:space="preserve">los, ikimokyklinio ugdymo mokyklos ar kiti švietimo teikėjai (išskyrus laisvąjį mokytoją) </w:t>
      </w:r>
      <w:r>
        <w:rPr>
          <w:color w:val="000000"/>
          <w:szCs w:val="24"/>
          <w:lang w:eastAsia="lt-LT"/>
        </w:rPr>
        <w:t>ir Savivaldybės teritorijoje įsteigtos nevalstybinės</w:t>
      </w:r>
      <w:r>
        <w:rPr>
          <w:szCs w:val="24"/>
        </w:rPr>
        <w:t xml:space="preserve"> bendrojo ugdymo mokyklos, ikimokyklinio ugdymo mokyklos ar kiti švietimo teikėjai (išskyrus laisvąjį mokytoją)</w:t>
      </w:r>
      <w:r>
        <w:rPr>
          <w:color w:val="000000"/>
          <w:szCs w:val="24"/>
          <w:lang w:eastAsia="lt-LT"/>
        </w:rPr>
        <w:t xml:space="preserve"> </w:t>
      </w:r>
      <w:r>
        <w:rPr>
          <w:szCs w:val="24"/>
        </w:rPr>
        <w:t>(t</w:t>
      </w:r>
      <w:r>
        <w:rPr>
          <w:szCs w:val="24"/>
        </w:rPr>
        <w:t>oliau kartu – mokyklos arba mokykla)</w:t>
      </w:r>
      <w:r>
        <w:rPr>
          <w:color w:val="000000"/>
          <w:szCs w:val="24"/>
          <w:lang w:eastAsia="lt-LT"/>
        </w:rPr>
        <w:t>.“;</w:t>
      </w:r>
    </w:p>
    <w:p w14:paraId="103516D3" w14:textId="3864DA2F" w:rsidR="0056293D" w:rsidRDefault="004B58FF">
      <w:pPr>
        <w:tabs>
          <w:tab w:val="left" w:pos="1134"/>
        </w:tabs>
        <w:spacing w:line="360" w:lineRule="auto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2.2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  <w:t>išdėstyti 14 ir 15 punktus taip:</w:t>
      </w:r>
    </w:p>
    <w:p w14:paraId="5FB95B11" w14:textId="77777777" w:rsidR="0056293D" w:rsidRDefault="004B58FF">
      <w:pPr>
        <w:tabs>
          <w:tab w:val="left" w:pos="851"/>
          <w:tab w:val="left" w:pos="993"/>
          <w:tab w:val="left" w:pos="1134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14</w:t>
      </w:r>
      <w:r>
        <w:rPr>
          <w:szCs w:val="24"/>
        </w:rPr>
        <w:t>. Nemokamą maitinimą mokyklose administruoja Švietimo aplinkos skyrius ir BĮ „Biudžetinių įstaigų buhalterinė apskaita.</w:t>
      </w:r>
    </w:p>
    <w:p w14:paraId="64E780C7" w14:textId="77777777" w:rsidR="0056293D" w:rsidRDefault="004B58FF">
      <w:pPr>
        <w:tabs>
          <w:tab w:val="left" w:pos="720"/>
          <w:tab w:val="left" w:pos="993"/>
          <w:tab w:val="left" w:pos="1134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15</w:t>
      </w:r>
      <w:r>
        <w:rPr>
          <w:szCs w:val="24"/>
        </w:rPr>
        <w:t>. Švietimo aplinkos skyrius su nevalsty</w:t>
      </w:r>
      <w:r>
        <w:rPr>
          <w:szCs w:val="24"/>
        </w:rPr>
        <w:t>binėmis mokyklomis sudaro biudžeto lėšų naudojimo sutartis.“;</w:t>
      </w:r>
    </w:p>
    <w:p w14:paraId="204437D3" w14:textId="7F0164D9" w:rsidR="0056293D" w:rsidRDefault="004B58FF">
      <w:pPr>
        <w:tabs>
          <w:tab w:val="left" w:pos="1134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2.3</w:t>
      </w:r>
      <w:r>
        <w:rPr>
          <w:szCs w:val="24"/>
        </w:rPr>
        <w:t>.</w:t>
      </w:r>
      <w:r>
        <w:rPr>
          <w:szCs w:val="24"/>
        </w:rPr>
        <w:tab/>
        <w:t>išdėstyti 24 punkto pirmąją pastraipą taip:</w:t>
      </w:r>
    </w:p>
    <w:p w14:paraId="741E51D9" w14:textId="77777777" w:rsidR="0056293D" w:rsidRDefault="004B58FF">
      <w:pPr>
        <w:tabs>
          <w:tab w:val="left" w:pos="720"/>
          <w:tab w:val="left" w:pos="993"/>
          <w:tab w:val="left" w:pos="1134"/>
        </w:tabs>
        <w:spacing w:line="360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24</w:t>
      </w:r>
      <w:r>
        <w:rPr>
          <w:color w:val="000000"/>
          <w:szCs w:val="24"/>
        </w:rPr>
        <w:t>. Švietimo aplinkos skyrius:“;</w:t>
      </w:r>
    </w:p>
    <w:p w14:paraId="4A36D483" w14:textId="43A4B593" w:rsidR="0056293D" w:rsidRDefault="004B58FF">
      <w:pPr>
        <w:tabs>
          <w:tab w:val="left" w:pos="1134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2.4</w:t>
      </w:r>
      <w:r>
        <w:rPr>
          <w:szCs w:val="24"/>
        </w:rPr>
        <w:t>.</w:t>
      </w:r>
      <w:r>
        <w:rPr>
          <w:szCs w:val="24"/>
        </w:rPr>
        <w:tab/>
        <w:t>išdėstyti 25.3 papunktį taip:</w:t>
      </w:r>
    </w:p>
    <w:p w14:paraId="348387F9" w14:textId="77777777" w:rsidR="0056293D" w:rsidRDefault="004B58FF">
      <w:pPr>
        <w:tabs>
          <w:tab w:val="left" w:pos="993"/>
          <w:tab w:val="left" w:pos="1134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25.3</w:t>
      </w:r>
      <w:r>
        <w:rPr>
          <w:szCs w:val="24"/>
        </w:rPr>
        <w:t xml:space="preserve">. atsiskaito Švietimo aplinkos skyriui apie </w:t>
      </w:r>
      <w:r>
        <w:rPr>
          <w:szCs w:val="24"/>
        </w:rPr>
        <w:t>panaudotas lėšas – kiekvieną mėnesį iki 10 kalendorinės dienos pagal šio skyriaus vedėjo patvirtintą mokinių nemokamo maitinimo ataskaitos formą.“;</w:t>
      </w:r>
    </w:p>
    <w:p w14:paraId="350421E4" w14:textId="28D1BBB7" w:rsidR="0056293D" w:rsidRDefault="004B58FF">
      <w:pPr>
        <w:tabs>
          <w:tab w:val="left" w:pos="1134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2.5</w:t>
      </w:r>
      <w:r>
        <w:rPr>
          <w:szCs w:val="24"/>
        </w:rPr>
        <w:t>.</w:t>
      </w:r>
      <w:r>
        <w:rPr>
          <w:szCs w:val="24"/>
        </w:rPr>
        <w:tab/>
        <w:t>išdėstyti 26 punktą taip:</w:t>
      </w:r>
    </w:p>
    <w:p w14:paraId="7A94F7C6" w14:textId="77777777" w:rsidR="0056293D" w:rsidRDefault="004B58FF">
      <w:pPr>
        <w:tabs>
          <w:tab w:val="left" w:pos="993"/>
          <w:tab w:val="left" w:pos="1134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26</w:t>
      </w:r>
      <w:r>
        <w:rPr>
          <w:szCs w:val="24"/>
        </w:rPr>
        <w:t>. Apskaitos skyrius lėšas, skirtas mokinių nemokamam maitinimui,</w:t>
      </w:r>
      <w:r>
        <w:rPr>
          <w:szCs w:val="24"/>
        </w:rPr>
        <w:t xml:space="preserve"> perveda į mokyklos, kurioje mokinys mokosi, buhalteriją pagal mokyklos arba BĮ „Biudžetinių įstaigų buhalterinė apskaita“ pateiktą paraišką ir asignavimo valdytojo patvirtintą sąmatą.“;</w:t>
      </w:r>
    </w:p>
    <w:p w14:paraId="3FF25FDD" w14:textId="42710127" w:rsidR="0056293D" w:rsidRDefault="004B58FF">
      <w:pPr>
        <w:tabs>
          <w:tab w:val="left" w:pos="1134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2.6</w:t>
      </w:r>
      <w:r>
        <w:rPr>
          <w:szCs w:val="24"/>
        </w:rPr>
        <w:t>.</w:t>
      </w:r>
      <w:r>
        <w:rPr>
          <w:szCs w:val="24"/>
        </w:rPr>
        <w:tab/>
        <w:t>išdėstyti 27.3 ir 27.4 papunkčius taip:</w:t>
      </w:r>
    </w:p>
    <w:p w14:paraId="505481B8" w14:textId="77777777" w:rsidR="0056293D" w:rsidRDefault="004B58FF">
      <w:pPr>
        <w:tabs>
          <w:tab w:val="left" w:pos="993"/>
          <w:tab w:val="left" w:pos="1134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27.3</w:t>
      </w:r>
      <w:r>
        <w:rPr>
          <w:szCs w:val="24"/>
        </w:rPr>
        <w:t>. atsiska</w:t>
      </w:r>
      <w:r>
        <w:rPr>
          <w:szCs w:val="24"/>
        </w:rPr>
        <w:t xml:space="preserve">ito Švietimo aplinkos skyriui apie panaudotas mokyklos lėšas – kiekvieną mėnesį iki 5 kalendorinės dienos pagal šio skyriaus vedėjo patvirtintą mokinių nemokamo maitinimo ataskaitos formą; </w:t>
      </w:r>
    </w:p>
    <w:p w14:paraId="550140EA" w14:textId="77777777" w:rsidR="0056293D" w:rsidRDefault="004B58FF">
      <w:pPr>
        <w:tabs>
          <w:tab w:val="left" w:pos="0"/>
          <w:tab w:val="left" w:pos="993"/>
          <w:tab w:val="left" w:pos="1134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27.4</w:t>
      </w:r>
      <w:r>
        <w:rPr>
          <w:szCs w:val="24"/>
        </w:rPr>
        <w:t>. numatomas nepanaudoti einamųjų metų nemokamo maitinimo l</w:t>
      </w:r>
      <w:r>
        <w:rPr>
          <w:szCs w:val="24"/>
        </w:rPr>
        <w:t>ėšas mokyklos grąžina Apskaitos skyriui iki gruodžio 30 d.;“.</w:t>
      </w:r>
    </w:p>
    <w:p w14:paraId="2C243F61" w14:textId="7FD7512A" w:rsidR="0056293D" w:rsidRDefault="004B58FF">
      <w:pPr>
        <w:tabs>
          <w:tab w:val="left" w:pos="993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</w:t>
      </w:r>
      <w:r>
        <w:rPr>
          <w:szCs w:val="24"/>
        </w:rPr>
        <w:tab/>
        <w:t>Pakeisti Paramos mokinio reikmenims įsigyti tvarkos aprašą, patvirtintą Vilniaus miesto savivaldybės tarybos 2019 m. birželio 19 d. sprendimu Nr. 1-94 „Dėl socialinės paramos mokini</w:t>
      </w:r>
      <w:r>
        <w:rPr>
          <w:szCs w:val="24"/>
        </w:rPr>
        <w:t>ams teikimo Vilniaus miesto savivaldybėje“:</w:t>
      </w:r>
    </w:p>
    <w:p w14:paraId="05A03513" w14:textId="64FA4D11" w:rsidR="0056293D" w:rsidRDefault="004B58FF">
      <w:pPr>
        <w:tabs>
          <w:tab w:val="left" w:pos="1134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3.1</w:t>
      </w:r>
      <w:r>
        <w:rPr>
          <w:szCs w:val="24"/>
        </w:rPr>
        <w:t>.</w:t>
      </w:r>
      <w:r>
        <w:rPr>
          <w:szCs w:val="24"/>
        </w:rPr>
        <w:tab/>
        <w:t>išdėstyti 4 punktą taip:</w:t>
      </w:r>
    </w:p>
    <w:p w14:paraId="6E20BC4B" w14:textId="77777777" w:rsidR="0056293D" w:rsidRDefault="004B58FF">
      <w:pPr>
        <w:tabs>
          <w:tab w:val="left" w:pos="709"/>
          <w:tab w:val="left" w:pos="1134"/>
        </w:tabs>
        <w:spacing w:line="360" w:lineRule="auto"/>
        <w:ind w:firstLine="851"/>
        <w:jc w:val="both"/>
        <w:rPr>
          <w:szCs w:val="24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 xml:space="preserve">. Tvarkos aprašu privalo vadovautis Vilniaus miesto savivaldybės administracijos (toliau – Administracija) </w:t>
      </w:r>
      <w:r>
        <w:rPr>
          <w:szCs w:val="24"/>
        </w:rPr>
        <w:t xml:space="preserve">Švietimo aplinkos skyrius (toliau – Švietimo aplinkos skyrius), </w:t>
      </w:r>
      <w:r>
        <w:rPr>
          <w:color w:val="000000"/>
          <w:szCs w:val="24"/>
          <w:lang w:eastAsia="lt-LT"/>
        </w:rPr>
        <w:t xml:space="preserve">Administracijos Socialinių išmokų skyrius (toliau – Socialinių išmokų skyrius), </w:t>
      </w:r>
      <w:r>
        <w:rPr>
          <w:szCs w:val="24"/>
        </w:rPr>
        <w:t xml:space="preserve">Administracijos </w:t>
      </w:r>
      <w:r>
        <w:rPr>
          <w:color w:val="000000"/>
          <w:szCs w:val="24"/>
          <w:lang w:eastAsia="lt-LT"/>
        </w:rPr>
        <w:t xml:space="preserve">Apskaitos skyrius (toliau – Apskaitos skyrius), biudžetinė įstaiga Vilniaus miesto socialinės paramos centras (toliau – Socialinės paramos centras) ir </w:t>
      </w:r>
      <w:r>
        <w:rPr>
          <w:szCs w:val="24"/>
        </w:rPr>
        <w:t>nevyriaus</w:t>
      </w:r>
      <w:r>
        <w:rPr>
          <w:szCs w:val="24"/>
        </w:rPr>
        <w:t xml:space="preserve">ybinės organizacijos, teikiančios socialinės priežiūros paslaugas šeimoms, patiriančioms socialinės rizikos veiksnius, su kuriomis Administracija yra sudariusi biudžeto lėšų naudojimo sutartis (toliau – nevyriausybinės organizacijos).“; </w:t>
      </w:r>
    </w:p>
    <w:p w14:paraId="78E47165" w14:textId="32FF3ED5" w:rsidR="0056293D" w:rsidRDefault="004B58FF">
      <w:pPr>
        <w:tabs>
          <w:tab w:val="left" w:pos="1134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3.2</w:t>
      </w:r>
      <w:r>
        <w:rPr>
          <w:szCs w:val="24"/>
        </w:rPr>
        <w:t>.</w:t>
      </w:r>
      <w:r>
        <w:rPr>
          <w:szCs w:val="24"/>
        </w:rPr>
        <w:tab/>
        <w:t>išdės</w:t>
      </w:r>
      <w:r>
        <w:rPr>
          <w:szCs w:val="24"/>
        </w:rPr>
        <w:t>tyti 11.6 papunktį taip:</w:t>
      </w:r>
    </w:p>
    <w:p w14:paraId="6EDF1C1C" w14:textId="77777777" w:rsidR="0056293D" w:rsidRDefault="004B58FF">
      <w:pPr>
        <w:tabs>
          <w:tab w:val="left" w:pos="142"/>
          <w:tab w:val="left" w:pos="993"/>
          <w:tab w:val="left" w:pos="1134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11.6</w:t>
      </w:r>
      <w:r>
        <w:rPr>
          <w:szCs w:val="24"/>
        </w:rPr>
        <w:t xml:space="preserve">. iki kiekvienų metų gruodžio 30 d. pateikia Švietimo aplinkos skyriui duomenis, nurodytus Lietuvos Respublikos socialinės apsaugos ir darbo ministro (toliau – SAD ministras) patvirtinto </w:t>
      </w:r>
      <w:r>
        <w:rPr>
          <w:color w:val="000000"/>
          <w:szCs w:val="24"/>
        </w:rPr>
        <w:t>Duomenų apie suteiktą socialinę param</w:t>
      </w:r>
      <w:r>
        <w:rPr>
          <w:color w:val="000000"/>
          <w:szCs w:val="24"/>
        </w:rPr>
        <w:t xml:space="preserve">ą mokiniams teikimo tvarkos aprašo </w:t>
      </w:r>
      <w:r>
        <w:rPr>
          <w:color w:val="000000"/>
          <w:szCs w:val="24"/>
          <w:shd w:val="clear" w:color="auto" w:fill="FFFFFF"/>
        </w:rPr>
        <w:t>3 priede</w:t>
      </w:r>
      <w:r>
        <w:rPr>
          <w:szCs w:val="24"/>
        </w:rPr>
        <w:t xml:space="preserve"> – paramos mokinio reikmenims įsigyti ataskaitos formoje.“; </w:t>
      </w:r>
    </w:p>
    <w:p w14:paraId="00465816" w14:textId="6F17A9C1" w:rsidR="0056293D" w:rsidRDefault="004B58FF">
      <w:pPr>
        <w:tabs>
          <w:tab w:val="left" w:pos="1134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3.3</w:t>
      </w:r>
      <w:r>
        <w:rPr>
          <w:szCs w:val="24"/>
        </w:rPr>
        <w:t>.</w:t>
      </w:r>
      <w:r>
        <w:rPr>
          <w:szCs w:val="24"/>
        </w:rPr>
        <w:tab/>
        <w:t>išdėstyti 12 punkto pirmąją pastraipą taip:</w:t>
      </w:r>
    </w:p>
    <w:p w14:paraId="25ADE57D" w14:textId="77777777" w:rsidR="0056293D" w:rsidRDefault="004B58FF">
      <w:pPr>
        <w:tabs>
          <w:tab w:val="left" w:pos="720"/>
          <w:tab w:val="left" w:pos="993"/>
          <w:tab w:val="left" w:pos="1134"/>
        </w:tabs>
        <w:spacing w:line="360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12</w:t>
      </w:r>
      <w:r>
        <w:rPr>
          <w:color w:val="000000"/>
          <w:szCs w:val="24"/>
        </w:rPr>
        <w:t>. Švietimo aplinkos skyrius:“;</w:t>
      </w:r>
    </w:p>
    <w:p w14:paraId="1B49A74F" w14:textId="78ABABEC" w:rsidR="0056293D" w:rsidRDefault="004B58FF">
      <w:pPr>
        <w:tabs>
          <w:tab w:val="left" w:pos="1134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3.4</w:t>
      </w:r>
      <w:r>
        <w:rPr>
          <w:szCs w:val="24"/>
        </w:rPr>
        <w:t>.</w:t>
      </w:r>
      <w:r>
        <w:rPr>
          <w:szCs w:val="24"/>
        </w:rPr>
        <w:tab/>
        <w:t>išdėstyti 13 punkto pirmąją pastraipą taip:</w:t>
      </w:r>
    </w:p>
    <w:p w14:paraId="73A43AB8" w14:textId="77777777" w:rsidR="0056293D" w:rsidRDefault="004B58FF">
      <w:pPr>
        <w:tabs>
          <w:tab w:val="left" w:pos="720"/>
          <w:tab w:val="left" w:pos="993"/>
          <w:tab w:val="left" w:pos="1134"/>
        </w:tabs>
        <w:spacing w:line="360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</w:t>
      </w:r>
      <w:r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. </w:t>
      </w:r>
      <w:r>
        <w:rPr>
          <w:szCs w:val="24"/>
        </w:rPr>
        <w:t>Apskaitos skyrius Socialinių išmokų skyriaus paskirtos paramos lėšas perveda</w:t>
      </w:r>
      <w:r>
        <w:rPr>
          <w:color w:val="000000"/>
          <w:szCs w:val="24"/>
        </w:rPr>
        <w:t>:“.</w:t>
      </w:r>
    </w:p>
    <w:bookmarkStart w:id="0" w:name="_GoBack" w:displacedByCustomXml="next"/>
    <w:p w14:paraId="7E6D8772" w14:textId="0E745B86" w:rsidR="0056293D" w:rsidRDefault="004B58FF">
      <w:pPr>
        <w:tabs>
          <w:tab w:val="left" w:pos="1134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</w:t>
      </w:r>
      <w:r>
        <w:rPr>
          <w:szCs w:val="24"/>
        </w:rPr>
        <w:tab/>
        <w:t xml:space="preserve">Nustatyti, kad šio sprendimo 1.2, 1.3, 1.6 ir 1.8 papunkčiai įsigalioja </w:t>
      </w:r>
      <w:r>
        <w:rPr>
          <w:szCs w:val="24"/>
        </w:rPr>
        <w:t>2020 m. sausio 1 d.</w:t>
      </w:r>
    </w:p>
    <w:bookmarkEnd w:id="0" w:displacedByCustomXml="prev"/>
    <w:p w14:paraId="0482AB37" w14:textId="7479AD5F" w:rsidR="0056293D" w:rsidRDefault="0056293D">
      <w:pPr>
        <w:ind w:firstLine="720"/>
        <w:rPr>
          <w:szCs w:val="24"/>
        </w:rPr>
      </w:pPr>
    </w:p>
    <w:p w14:paraId="0482AB3A" w14:textId="77777777" w:rsidR="0056293D" w:rsidRDefault="0056293D">
      <w:pPr>
        <w:ind w:firstLine="720"/>
        <w:rPr>
          <w:szCs w:val="24"/>
        </w:rPr>
      </w:pPr>
    </w:p>
    <w:p w14:paraId="0482AB3B" w14:textId="77777777" w:rsidR="0056293D" w:rsidRDefault="0056293D">
      <w:pPr>
        <w:ind w:firstLine="720"/>
        <w:rPr>
          <w:szCs w:val="24"/>
        </w:rPr>
      </w:pPr>
    </w:p>
    <w:p w14:paraId="5E1632FF" w14:textId="439FAD56" w:rsidR="004B58FF" w:rsidRPr="004B58FF" w:rsidRDefault="004B58FF">
      <w:pPr>
        <w:tabs>
          <w:tab w:val="left" w:pos="4814"/>
        </w:tabs>
        <w:rPr>
          <w:szCs w:val="24"/>
        </w:rPr>
      </w:pPr>
      <w:r w:rsidRPr="004B58FF">
        <w:rPr>
          <w:szCs w:val="24"/>
        </w:rPr>
        <w:t>Meras</w:t>
      </w:r>
      <w:r w:rsidRPr="004B58F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Pr="004B58FF">
        <w:rPr>
          <w:szCs w:val="24"/>
        </w:rPr>
        <w:t>Remigijus Šimašius</w:t>
      </w:r>
    </w:p>
    <w:p w14:paraId="0482AB3F" w14:textId="2F874BF4" w:rsidR="0056293D" w:rsidRDefault="004B58FF">
      <w:pPr>
        <w:jc w:val="center"/>
        <w:rPr>
          <w:szCs w:val="24"/>
        </w:rPr>
      </w:pPr>
    </w:p>
    <w:sectPr w:rsidR="0056293D" w:rsidSect="004B58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7644C" w14:textId="77777777" w:rsidR="0056293D" w:rsidRDefault="004B58FF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4D9784A6" w14:textId="77777777" w:rsidR="0056293D" w:rsidRDefault="004B58FF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2FC89" w14:textId="77777777" w:rsidR="0056293D" w:rsidRDefault="0056293D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678FA" w14:textId="77777777" w:rsidR="0056293D" w:rsidRDefault="0056293D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23C85" w14:textId="77777777" w:rsidR="0056293D" w:rsidRDefault="0056293D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94D8D" w14:textId="77777777" w:rsidR="0056293D" w:rsidRDefault="004B58FF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5666A5F" w14:textId="77777777" w:rsidR="0056293D" w:rsidRDefault="004B58FF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BB10D" w14:textId="77777777" w:rsidR="0056293D" w:rsidRDefault="0056293D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159159"/>
      <w:docPartObj>
        <w:docPartGallery w:val="Page Numbers (Top of Page)"/>
        <w:docPartUnique/>
      </w:docPartObj>
    </w:sdtPr>
    <w:sdtContent>
      <w:p w14:paraId="33325503" w14:textId="2CF207E3" w:rsidR="004B58FF" w:rsidRDefault="004B58F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482AB45" w14:textId="77777777" w:rsidR="0056293D" w:rsidRDefault="0056293D">
    <w:pPr>
      <w:tabs>
        <w:tab w:val="center" w:pos="4819"/>
        <w:tab w:val="right" w:pos="9638"/>
      </w:tabs>
      <w:jc w:val="right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60A33" w14:textId="377C4E6B" w:rsidR="004B58FF" w:rsidRDefault="004B58FF">
    <w:pPr>
      <w:pStyle w:val="Antrats"/>
      <w:jc w:val="center"/>
    </w:pPr>
  </w:p>
  <w:p w14:paraId="0482AB46" w14:textId="31A1E29E" w:rsidR="0056293D" w:rsidRDefault="0056293D">
    <w:pPr>
      <w:tabs>
        <w:tab w:val="center" w:pos="4819"/>
        <w:tab w:val="right" w:pos="9638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60"/>
    <w:rsid w:val="004B58FF"/>
    <w:rsid w:val="0056293D"/>
    <w:rsid w:val="0061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A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B58FF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4B58F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B58FF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B58FF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4B58F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B58FF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29"/>
    <w:rsid w:val="0092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25A2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25A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6069</Words>
  <Characters>3460</Characters>
  <Application>Microsoft Office Word</Application>
  <DocSecurity>0</DocSecurity>
  <Lines>28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SINTAGMA</Company>
  <LinksUpToDate>false</LinksUpToDate>
  <CharactersWithSpaces>9510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2019-11-11T08:43:00Z</dcterms:created>
  <dc:creator>-</dc:creator>
  <lastModifiedBy>DRAZDAUSKIENĖ Nijolė</lastModifiedBy>
  <dcterms:modified xsi:type="dcterms:W3CDTF">2019-11-11T09:32:00Z</dcterms:modified>
  <revision>3</revision>
</coreProperties>
</file>