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00ba04d2f814476838f30d4aec35a74"/>
        <w:id w:val="-1175496534"/>
        <w:lock w:val="sdtLocked"/>
      </w:sdtPr>
      <w:sdtEndPr/>
      <w:sdtContent>
        <w:p w14:paraId="4E64D858" w14:textId="77777777" w:rsidR="0097135C" w:rsidRDefault="0097135C">
          <w:pPr>
            <w:suppressAutoHyphens/>
            <w:ind w:firstLine="7920"/>
            <w:jc w:val="center"/>
            <w:rPr>
              <w:sz w:val="10"/>
              <w:szCs w:val="10"/>
            </w:rPr>
          </w:pPr>
        </w:p>
        <w:p w14:paraId="4E64D859" w14:textId="4820CFEC" w:rsidR="0097135C" w:rsidRDefault="003D4B2A" w:rsidP="003D4B2A">
          <w:pPr>
            <w:suppressAutoHyphens/>
            <w:jc w:val="center"/>
            <w:rPr>
              <w:bCs/>
              <w:lang w:eastAsia="lt-LT"/>
            </w:rPr>
          </w:pPr>
          <w:r>
            <w:rPr>
              <w:b/>
              <w:bCs/>
              <w:noProof/>
              <w:lang w:eastAsia="lt-LT"/>
            </w:rPr>
            <w:drawing>
              <wp:inline distT="0" distB="0" distL="0" distR="0" wp14:anchorId="4E64D899" wp14:editId="4E64D89A">
                <wp:extent cx="518160" cy="62166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8160" cy="621665"/>
                        </a:xfrm>
                        <a:prstGeom prst="rect">
                          <a:avLst/>
                        </a:prstGeom>
                        <a:noFill/>
                      </pic:spPr>
                    </pic:pic>
                  </a:graphicData>
                </a:graphic>
              </wp:inline>
            </w:drawing>
          </w:r>
        </w:p>
        <w:p w14:paraId="4E64D85A" w14:textId="77777777" w:rsidR="0097135C" w:rsidRDefault="0097135C">
          <w:pPr>
            <w:suppressAutoHyphens/>
            <w:jc w:val="center"/>
            <w:rPr>
              <w:b/>
              <w:bCs/>
              <w:lang w:eastAsia="lt-LT"/>
            </w:rPr>
          </w:pPr>
        </w:p>
        <w:p w14:paraId="4E64D85B" w14:textId="77777777" w:rsidR="0097135C" w:rsidRDefault="003D4B2A">
          <w:pPr>
            <w:suppressAutoHyphens/>
            <w:jc w:val="center"/>
            <w:rPr>
              <w:b/>
              <w:bCs/>
              <w:lang w:eastAsia="lt-LT"/>
            </w:rPr>
          </w:pPr>
          <w:r>
            <w:rPr>
              <w:b/>
              <w:bCs/>
              <w:lang w:eastAsia="lt-LT"/>
            </w:rPr>
            <w:t>LIETUVOS RESPUBLIKOS APLINKOS MINISTRAS</w:t>
          </w:r>
        </w:p>
        <w:p w14:paraId="4E64D85C" w14:textId="77777777" w:rsidR="0097135C" w:rsidRDefault="0097135C">
          <w:pPr>
            <w:suppressAutoHyphens/>
            <w:jc w:val="center"/>
            <w:rPr>
              <w:b/>
              <w:bCs/>
              <w:lang w:eastAsia="lt-LT"/>
            </w:rPr>
          </w:pPr>
        </w:p>
        <w:p w14:paraId="4E64D85D" w14:textId="77777777" w:rsidR="0097135C" w:rsidRDefault="003D4B2A">
          <w:pPr>
            <w:suppressAutoHyphens/>
            <w:jc w:val="center"/>
            <w:rPr>
              <w:b/>
              <w:bCs/>
              <w:lang w:eastAsia="lt-LT"/>
            </w:rPr>
          </w:pPr>
          <w:r>
            <w:rPr>
              <w:b/>
              <w:bCs/>
              <w:lang w:eastAsia="lt-LT"/>
            </w:rPr>
            <w:t>ĮSAKYMAS</w:t>
          </w:r>
        </w:p>
        <w:p w14:paraId="4E64D85E" w14:textId="77777777" w:rsidR="0097135C" w:rsidRDefault="003D4B2A">
          <w:pPr>
            <w:suppressAutoHyphens/>
            <w:jc w:val="center"/>
            <w:rPr>
              <w:b/>
              <w:bCs/>
              <w:lang w:eastAsia="lt-LT"/>
            </w:rPr>
          </w:pPr>
          <w:r>
            <w:rPr>
              <w:b/>
              <w:bCs/>
              <w:lang w:eastAsia="lt-LT"/>
            </w:rPr>
            <w:t xml:space="preserve">DĖL LIETUVOS RESPUBLIKOS APLINKOS MINISTRO 2019 M. RUGPJŪČIO 14 D. ĮSAKYMO NR. D1-487 „DĖL KVIETIMO TEIKTI PARAIŠKAS </w:t>
          </w:r>
          <w:r>
            <w:rPr>
              <w:b/>
              <w:bCs/>
              <w:lang w:eastAsia="lt-LT"/>
            </w:rPr>
            <w:t>DAUGIABUČIAMS NAMAMS ATNAUJINTI (MODERNIZUOTI)“ PAKEITIMO</w:t>
          </w:r>
        </w:p>
        <w:p w14:paraId="4E64D85F" w14:textId="77777777" w:rsidR="0097135C" w:rsidRDefault="0097135C">
          <w:pPr>
            <w:suppressAutoHyphens/>
            <w:jc w:val="center"/>
            <w:rPr>
              <w:b/>
              <w:bCs/>
              <w:lang w:eastAsia="lt-LT"/>
            </w:rPr>
          </w:pPr>
        </w:p>
        <w:p w14:paraId="4E64D860" w14:textId="77777777" w:rsidR="0097135C" w:rsidRDefault="003D4B2A">
          <w:pPr>
            <w:suppressAutoHyphens/>
            <w:jc w:val="center"/>
            <w:rPr>
              <w:lang w:eastAsia="lt-LT"/>
            </w:rPr>
          </w:pPr>
          <w:r>
            <w:rPr>
              <w:lang w:eastAsia="lt-LT"/>
            </w:rPr>
            <w:t>2019 m. gruodžio 30 d. Nr. D1-776</w:t>
          </w:r>
        </w:p>
        <w:p w14:paraId="4E64D861" w14:textId="77777777" w:rsidR="0097135C" w:rsidRDefault="003D4B2A">
          <w:pPr>
            <w:suppressAutoHyphens/>
            <w:jc w:val="center"/>
            <w:rPr>
              <w:lang w:eastAsia="lt-LT"/>
            </w:rPr>
          </w:pPr>
          <w:r>
            <w:rPr>
              <w:lang w:eastAsia="lt-LT"/>
            </w:rPr>
            <w:t>Vilnius</w:t>
          </w:r>
        </w:p>
        <w:p w14:paraId="4E64D862" w14:textId="77777777" w:rsidR="0097135C" w:rsidRDefault="0097135C">
          <w:pPr>
            <w:suppressAutoHyphens/>
            <w:jc w:val="center"/>
            <w:rPr>
              <w:lang w:eastAsia="lt-LT"/>
            </w:rPr>
          </w:pPr>
        </w:p>
        <w:sdt>
          <w:sdtPr>
            <w:alias w:val="preambule"/>
            <w:tag w:val="part_461ed11787854adbbd8ac83cbbf5da79"/>
            <w:id w:val="-332074216"/>
            <w:lock w:val="sdtLocked"/>
          </w:sdtPr>
          <w:sdtEndPr/>
          <w:sdtContent>
            <w:p w14:paraId="4E64D863" w14:textId="77777777" w:rsidR="0097135C" w:rsidRDefault="003D4B2A">
              <w:pPr>
                <w:suppressAutoHyphens/>
                <w:ind w:firstLine="782"/>
                <w:jc w:val="both"/>
                <w:rPr>
                  <w:bCs/>
                  <w:lang w:eastAsia="lt-LT"/>
                </w:rPr>
              </w:pPr>
              <w:r>
                <w:rPr>
                  <w:lang w:eastAsia="lt-LT"/>
                </w:rPr>
                <w:t xml:space="preserve">P a k e i č i u </w:t>
              </w:r>
              <w:r>
                <w:rPr>
                  <w:bCs/>
                  <w:lang w:eastAsia="lt-LT"/>
                </w:rPr>
                <w:t>Kvietimo teikti paraiškas daugiabučiams namams atnaujinti (modernizuoti) pagal Daugiabučių namų atnaujinimo (modernizavimo) programą, pask</w:t>
              </w:r>
              <w:r>
                <w:rPr>
                  <w:bCs/>
                  <w:lang w:eastAsia="lt-LT"/>
                </w:rPr>
                <w:t>elbto</w:t>
              </w:r>
              <w:r>
                <w:rPr>
                  <w:lang w:eastAsia="lt-LT"/>
                </w:rPr>
                <w:t xml:space="preserve"> Lietuvos Respublikos aplinkos ministro 2019 m. rugpjūčio 14 d. įsakymu Nr. D1-487 „</w:t>
              </w:r>
              <w:r>
                <w:rPr>
                  <w:bCs/>
                  <w:lang w:eastAsia="lt-LT"/>
                </w:rPr>
                <w:t>Dėl Kvietimo teikti paraiškas daugiabučiams namams atnaujinti (modernizuoti)“, 3 punktą ir jį išdėstau taip:</w:t>
              </w:r>
            </w:p>
            <w:p w14:paraId="4E64D864" w14:textId="77777777" w:rsidR="0097135C" w:rsidRDefault="003D4B2A">
              <w:pPr>
                <w:suppressAutoHyphens/>
                <w:jc w:val="both"/>
                <w:rPr>
                  <w:lang w:eastAsia="lt-LT"/>
                </w:rPr>
              </w:pPr>
            </w:p>
          </w:sdtContent>
        </w:sdt>
        <w:sdt>
          <w:sdtPr>
            <w:alias w:val="lentele"/>
            <w:tag w:val="part_7d8fd49c47fd4701baca695a8c710967"/>
            <w:id w:val="1513029943"/>
            <w:lock w:val="sdtLocked"/>
          </w:sdtPr>
          <w:sdtEndPr/>
          <w:sdtContent>
            <w:tbl>
              <w:tblPr>
                <w:tblW w:w="0" w:type="auto"/>
                <w:tblBorders>
                  <w:top w:val="single" w:sz="4"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748"/>
                <w:gridCol w:w="2195"/>
                <w:gridCol w:w="6689"/>
              </w:tblGrid>
              <w:tr w:rsidR="0097135C" w14:paraId="4E64D875" w14:textId="77777777">
                <w:tc>
                  <w:tcPr>
                    <w:tcW w:w="748" w:type="dxa"/>
                    <w:tcMar>
                      <w:top w:w="0" w:type="dxa"/>
                      <w:left w:w="108" w:type="dxa"/>
                      <w:bottom w:w="0" w:type="dxa"/>
                      <w:right w:w="108" w:type="dxa"/>
                    </w:tcMar>
                    <w:vAlign w:val="center"/>
                    <w:hideMark/>
                  </w:tcPr>
                  <w:p w14:paraId="4E64D865" w14:textId="77777777" w:rsidR="0097135C" w:rsidRDefault="0097135C">
                    <w:pPr>
                      <w:rPr>
                        <w:sz w:val="8"/>
                        <w:szCs w:val="8"/>
                      </w:rPr>
                    </w:pPr>
                  </w:p>
                  <w:p w14:paraId="4E64D866" w14:textId="77777777" w:rsidR="0097135C" w:rsidRDefault="003D4B2A">
                    <w:pPr>
                      <w:jc w:val="center"/>
                      <w:rPr>
                        <w:szCs w:val="24"/>
                        <w:lang w:eastAsia="lt-LT"/>
                      </w:rPr>
                    </w:pPr>
                    <w:r>
                      <w:rPr>
                        <w:b/>
                        <w:bCs/>
                        <w:szCs w:val="24"/>
                        <w:lang w:eastAsia="lt-LT"/>
                      </w:rPr>
                      <w:t>„3.</w:t>
                    </w:r>
                  </w:p>
                </w:tc>
                <w:tc>
                  <w:tcPr>
                    <w:tcW w:w="2195" w:type="dxa"/>
                    <w:tcMar>
                      <w:top w:w="0" w:type="dxa"/>
                      <w:left w:w="108" w:type="dxa"/>
                      <w:bottom w:w="0" w:type="dxa"/>
                      <w:right w:w="108" w:type="dxa"/>
                    </w:tcMar>
                    <w:vAlign w:val="center"/>
                    <w:hideMark/>
                  </w:tcPr>
                  <w:p w14:paraId="4E64D867" w14:textId="77777777" w:rsidR="0097135C" w:rsidRDefault="0097135C">
                    <w:pPr>
                      <w:rPr>
                        <w:sz w:val="8"/>
                        <w:szCs w:val="8"/>
                      </w:rPr>
                    </w:pPr>
                  </w:p>
                  <w:p w14:paraId="4E64D868" w14:textId="77777777" w:rsidR="0097135C" w:rsidRDefault="003D4B2A">
                    <w:pPr>
                      <w:jc w:val="center"/>
                      <w:rPr>
                        <w:szCs w:val="24"/>
                        <w:lang w:eastAsia="lt-LT"/>
                      </w:rPr>
                    </w:pPr>
                    <w:r>
                      <w:rPr>
                        <w:b/>
                        <w:bCs/>
                        <w:szCs w:val="24"/>
                        <w:lang w:eastAsia="lt-LT"/>
                      </w:rPr>
                      <w:t>Paraiška</w:t>
                    </w:r>
                  </w:p>
                </w:tc>
                <w:tc>
                  <w:tcPr>
                    <w:tcW w:w="6689" w:type="dxa"/>
                    <w:tcMar>
                      <w:top w:w="0" w:type="dxa"/>
                      <w:left w:w="108" w:type="dxa"/>
                      <w:bottom w:w="0" w:type="dxa"/>
                      <w:right w:w="108" w:type="dxa"/>
                    </w:tcMar>
                    <w:hideMark/>
                  </w:tcPr>
                  <w:p w14:paraId="4E64D869" w14:textId="77777777" w:rsidR="0097135C" w:rsidRDefault="0097135C">
                    <w:pPr>
                      <w:rPr>
                        <w:sz w:val="8"/>
                        <w:szCs w:val="8"/>
                      </w:rPr>
                    </w:pPr>
                  </w:p>
                  <w:p w14:paraId="4E64D86A" w14:textId="77777777" w:rsidR="0097135C" w:rsidRDefault="003D4B2A">
                    <w:pPr>
                      <w:jc w:val="both"/>
                      <w:rPr>
                        <w:szCs w:val="24"/>
                        <w:lang w:eastAsia="lt-LT"/>
                      </w:rPr>
                    </w:pPr>
                    <w:r>
                      <w:rPr>
                        <w:szCs w:val="24"/>
                        <w:lang w:eastAsia="lt-LT"/>
                      </w:rPr>
                      <w:t xml:space="preserve">1. Viešosios įstaigos Būsto energijos </w:t>
                    </w:r>
                    <w:r>
                      <w:rPr>
                        <w:szCs w:val="24"/>
                        <w:lang w:eastAsia="lt-LT"/>
                      </w:rPr>
                      <w:t>taupymo agentūros (toliau – Agentūra) nustatytos formos paraiška.</w:t>
                    </w:r>
                  </w:p>
                  <w:p w14:paraId="4E64D86B" w14:textId="77777777" w:rsidR="0097135C" w:rsidRDefault="0097135C">
                    <w:pPr>
                      <w:rPr>
                        <w:sz w:val="8"/>
                        <w:szCs w:val="8"/>
                      </w:rPr>
                    </w:pPr>
                  </w:p>
                  <w:p w14:paraId="4E64D86C" w14:textId="77777777" w:rsidR="0097135C" w:rsidRDefault="003D4B2A">
                    <w:pPr>
                      <w:jc w:val="both"/>
                      <w:rPr>
                        <w:szCs w:val="24"/>
                        <w:lang w:eastAsia="lt-LT"/>
                      </w:rPr>
                    </w:pPr>
                    <w:r>
                      <w:rPr>
                        <w:bCs/>
                        <w:lang w:eastAsia="lt-LT"/>
                      </w:rPr>
                      <w:t>2. Daugiabučio namo atnaujinimo (modernizavimo) investicijų planas, parengtas pagal paraiškos teikimo metu galiojančią Daugiabučio namo atnaujinimo (modernizavimo) investicijų plano rengimo</w:t>
                    </w:r>
                    <w:r>
                      <w:rPr>
                        <w:bCs/>
                        <w:lang w:eastAsia="lt-LT"/>
                      </w:rPr>
                      <w:t xml:space="preserve"> tvarkos aprašo, patvirtinto Lietuvos Respublikos aplinkos ministro 2009 m. lapkričio 10 d. įsakymu Nr. D1-677 „Dėl Daugiabučio namo atnaujinimo (modernizavimo) investicijų plano rengimo tvarkos aprašo patvirtinimo“, suvestinę redakciją, kuriame aprašant i</w:t>
                    </w:r>
                    <w:r>
                      <w:rPr>
                        <w:bCs/>
                        <w:lang w:eastAsia="lt-LT"/>
                      </w:rPr>
                      <w:t>šorinių sienų ir cokolio šiltinimo priemonę, nurodoma, kad išorinių sienų ir cokolio šiltinimo darbams turi būti naudojama išorinė termoizoliacinė sistema (statybvietėje vertikalių atitvarų, taip pat horizontalių ar pasvirusių nuo kritulių apsaugotų atitva</w:t>
                    </w:r>
                    <w:r>
                      <w:rPr>
                        <w:bCs/>
                        <w:lang w:eastAsia="lt-LT"/>
                      </w:rPr>
                      <w:t>rų išorėje įrengiama sienų apšiltinimo ir apdailos sistema), kurią turi sudaryti kaip vieno gamintojo statybos produktas į rinką pateiktas statybos produktų rinkinys (komplektas), turintis Europos techninį įvertinimą ir paženklintas CE ženklu, arba (netaik</w:t>
                    </w:r>
                    <w:r>
                      <w:rPr>
                        <w:bCs/>
                        <w:lang w:eastAsia="lt-LT"/>
                      </w:rPr>
                      <w:t>oma išorinėms tinkuojamoms sudėtinėms termoizoliacinėms sistemoms) turintis nacionalinį techninį įvertinimą, arba (netaikoma išorinėms tinkuojamoms sudėtinėms termoizoliacinėms sistemoms) minėtos sistemos turi būti suprojektuotos naudojant atskirus nustaty</w:t>
                    </w:r>
                    <w:r>
                      <w:rPr>
                        <w:bCs/>
                        <w:lang w:eastAsia="lt-LT"/>
                      </w:rPr>
                      <w:t>ta tvarka CE ženklu ženklinamus ir (ar) kitus statybos produktus.</w:t>
                    </w:r>
                    <w:r>
                      <w:rPr>
                        <w:szCs w:val="24"/>
                        <w:lang w:eastAsia="lt-LT"/>
                      </w:rPr>
                      <w:t xml:space="preserve"> </w:t>
                    </w:r>
                  </w:p>
                  <w:p w14:paraId="4E64D86D" w14:textId="77777777" w:rsidR="0097135C" w:rsidRDefault="0097135C">
                    <w:pPr>
                      <w:rPr>
                        <w:sz w:val="8"/>
                        <w:szCs w:val="8"/>
                      </w:rPr>
                    </w:pPr>
                  </w:p>
                  <w:p w14:paraId="4E64D86E" w14:textId="77777777" w:rsidR="0097135C" w:rsidRDefault="003D4B2A">
                    <w:pPr>
                      <w:jc w:val="both"/>
                      <w:rPr>
                        <w:szCs w:val="24"/>
                        <w:lang w:eastAsia="lt-LT"/>
                      </w:rPr>
                    </w:pPr>
                    <w:r>
                      <w:rPr>
                        <w:szCs w:val="24"/>
                        <w:lang w:eastAsia="lt-LT"/>
                      </w:rPr>
                      <w:t>3. Esamos būklės daugiabučio namo energinio naudingumo sertifikatas.</w:t>
                    </w:r>
                  </w:p>
                  <w:p w14:paraId="4E64D86F" w14:textId="77777777" w:rsidR="0097135C" w:rsidRDefault="0097135C">
                    <w:pPr>
                      <w:rPr>
                        <w:sz w:val="8"/>
                        <w:szCs w:val="8"/>
                      </w:rPr>
                    </w:pPr>
                  </w:p>
                  <w:p w14:paraId="4E64D870" w14:textId="77777777" w:rsidR="0097135C" w:rsidRDefault="003D4B2A">
                    <w:pPr>
                      <w:jc w:val="both"/>
                      <w:rPr>
                        <w:szCs w:val="24"/>
                        <w:lang w:eastAsia="lt-LT"/>
                      </w:rPr>
                    </w:pPr>
                    <w:r>
                      <w:rPr>
                        <w:szCs w:val="24"/>
                        <w:lang w:eastAsia="lt-LT"/>
                      </w:rPr>
                      <w:t>4. Daugiabučio namo Nekilnojamojo turto registro išrašas.</w:t>
                    </w:r>
                  </w:p>
                  <w:p w14:paraId="4E64D871" w14:textId="77777777" w:rsidR="0097135C" w:rsidRDefault="0097135C">
                    <w:pPr>
                      <w:rPr>
                        <w:sz w:val="8"/>
                        <w:szCs w:val="8"/>
                      </w:rPr>
                    </w:pPr>
                  </w:p>
                  <w:p w14:paraId="4E64D872" w14:textId="77777777" w:rsidR="0097135C" w:rsidRDefault="003D4B2A">
                    <w:pPr>
                      <w:jc w:val="both"/>
                      <w:rPr>
                        <w:szCs w:val="24"/>
                        <w:lang w:eastAsia="lt-LT"/>
                      </w:rPr>
                    </w:pPr>
                    <w:r>
                      <w:rPr>
                        <w:szCs w:val="24"/>
                        <w:lang w:eastAsia="lt-LT"/>
                      </w:rPr>
                      <w:t>5. Daugiabučio namo butų ir kitų patalpų savininkų susirink</w:t>
                    </w:r>
                    <w:r>
                      <w:rPr>
                        <w:szCs w:val="24"/>
                        <w:lang w:eastAsia="lt-LT"/>
                      </w:rPr>
                      <w:t>imo protokolas, kurio forma patvirtinta Lietuvos Respublikos aplinkos ministro 2013 m. liepos 3 d. įsakymu Nr. D1-495 „Dėl Pavyzdinės butų ir kitų patalpų savininkų sprendimo dėl daugiabučio namo atnaujinimo (modernizavimo) protokolo formos ir pavyzdinės p</w:t>
                    </w:r>
                    <w:r>
                      <w:rPr>
                        <w:szCs w:val="24"/>
                        <w:lang w:eastAsia="lt-LT"/>
                      </w:rPr>
                      <w:t xml:space="preserve">avedimo organizuoti daugiabučio namo atnaujinimo </w:t>
                    </w:r>
                    <w:r>
                      <w:rPr>
                        <w:szCs w:val="24"/>
                        <w:lang w:eastAsia="lt-LT"/>
                      </w:rPr>
                      <w:lastRenderedPageBreak/>
                      <w:t>(modernizavimo) projekto parengimą ir (ar) įgyvendinimą, ir (ar) finansavimą sutarties formos patvirtinimo“, kuriuo daugiabučio namo butų ir kitų patalpų savininkai pritaria daugiabučio namo atnaujinimui (mo</w:t>
                    </w:r>
                    <w:r>
                      <w:rPr>
                        <w:szCs w:val="24"/>
                        <w:lang w:eastAsia="lt-LT"/>
                      </w:rPr>
                      <w:t>dernizavimui) ir patvirtina daugiabučio namo atnaujinimo (modernizavimo) investicijų planą.</w:t>
                    </w:r>
                    <w:r>
                      <w:rPr>
                        <w:b/>
                        <w:bCs/>
                        <w:szCs w:val="24"/>
                        <w:lang w:eastAsia="lt-LT"/>
                      </w:rPr>
                      <w:t xml:space="preserve"> </w:t>
                    </w:r>
                  </w:p>
                  <w:p w14:paraId="4E64D873" w14:textId="77777777" w:rsidR="0097135C" w:rsidRDefault="0097135C">
                    <w:pPr>
                      <w:rPr>
                        <w:sz w:val="8"/>
                        <w:szCs w:val="8"/>
                      </w:rPr>
                    </w:pPr>
                  </w:p>
                  <w:p w14:paraId="4E64D874" w14:textId="77777777" w:rsidR="0097135C" w:rsidRDefault="003D4B2A">
                    <w:pPr>
                      <w:jc w:val="both"/>
                      <w:rPr>
                        <w:szCs w:val="24"/>
                        <w:lang w:eastAsia="lt-LT"/>
                      </w:rPr>
                    </w:pPr>
                    <w:r>
                      <w:rPr>
                        <w:szCs w:val="24"/>
                        <w:lang w:eastAsia="lt-LT"/>
                      </w:rPr>
                      <w:t>6. Pavedimo sutartis, jeigu butų ir kitų patalpų savininkų sprendimu projekto įgyvendinimo administravimas pavedamas savivaldybės programos įgyvendinimo administr</w:t>
                    </w:r>
                    <w:r>
                      <w:rPr>
                        <w:szCs w:val="24"/>
                        <w:lang w:eastAsia="lt-LT"/>
                      </w:rPr>
                      <w:t>atoriui arba kitam asmeniui, teikiančiam projekto įgyvendinimo administravimo paslaugas.“</w:t>
                    </w:r>
                  </w:p>
                </w:tc>
              </w:tr>
            </w:tbl>
            <w:p w14:paraId="4E64D87A" w14:textId="77777777" w:rsidR="0097135C" w:rsidRDefault="003D4B2A">
              <w:pPr>
                <w:suppressAutoHyphens/>
                <w:jc w:val="both"/>
                <w:rPr>
                  <w:lang w:eastAsia="lt-LT"/>
                </w:rPr>
              </w:pPr>
            </w:p>
          </w:sdtContent>
        </w:sdt>
        <w:sdt>
          <w:sdtPr>
            <w:alias w:val="signatura"/>
            <w:tag w:val="part_73f7787d00e6432ab1cbcc4a7544f54e"/>
            <w:id w:val="-175423567"/>
            <w:lock w:val="sdtLocked"/>
          </w:sdtPr>
          <w:sdtEndPr/>
          <w:sdtContent>
            <w:p w14:paraId="2DD5748A" w14:textId="77777777" w:rsidR="003D4B2A" w:rsidRDefault="003D4B2A">
              <w:pPr>
                <w:suppressAutoHyphens/>
                <w:jc w:val="both"/>
              </w:pPr>
            </w:p>
            <w:p w14:paraId="0F55C4C1" w14:textId="77777777" w:rsidR="003D4B2A" w:rsidRDefault="003D4B2A">
              <w:pPr>
                <w:suppressAutoHyphens/>
                <w:jc w:val="both"/>
              </w:pPr>
            </w:p>
            <w:p w14:paraId="6869D370" w14:textId="77777777" w:rsidR="003D4B2A" w:rsidRDefault="003D4B2A">
              <w:pPr>
                <w:suppressAutoHyphens/>
                <w:jc w:val="both"/>
              </w:pPr>
            </w:p>
            <w:p w14:paraId="4E64D88B" w14:textId="4CE61F0E" w:rsidR="0097135C" w:rsidRDefault="003D4B2A" w:rsidP="003D4B2A">
              <w:pPr>
                <w:suppressAutoHyphens/>
                <w:jc w:val="both"/>
                <w:rPr>
                  <w:lang w:eastAsia="lt-LT"/>
                </w:rPr>
              </w:pPr>
              <w:r>
                <w:rPr>
                  <w:lang w:eastAsia="lt-LT"/>
                </w:rPr>
                <w:t>Aplinkos ministras</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 xml:space="preserve">          Kęstutis Mažeika</w:t>
              </w:r>
            </w:p>
            <w:p w14:paraId="4E64D898" w14:textId="77777777" w:rsidR="0097135C" w:rsidRDefault="003D4B2A">
              <w:pPr>
                <w:tabs>
                  <w:tab w:val="left" w:pos="7371"/>
                </w:tabs>
                <w:suppressAutoHyphens/>
                <w:ind w:right="34" w:firstLine="7433"/>
                <w:rPr>
                  <w:lang w:eastAsia="lt-LT"/>
                </w:rPr>
              </w:pPr>
            </w:p>
            <w:bookmarkStart w:id="0" w:name="_GoBack" w:displacedByCustomXml="next"/>
            <w:bookmarkEnd w:id="0" w:displacedByCustomXml="next"/>
          </w:sdtContent>
        </w:sdt>
      </w:sdtContent>
    </w:sdt>
    <w:sectPr w:rsidR="0097135C">
      <w:headerReference w:type="even" r:id="rId10"/>
      <w:footerReference w:type="even" r:id="rId11"/>
      <w:footerReference w:type="default" r:id="rId12"/>
      <w:headerReference w:type="first" r:id="rId13"/>
      <w:footerReference w:type="first" r:id="rId14"/>
      <w:footnotePr>
        <w:pos w:val="beneathText"/>
      </w:footnotePr>
      <w:type w:val="continuous"/>
      <w:pgSz w:w="11905" w:h="16837"/>
      <w:pgMar w:top="1134" w:right="709" w:bottom="1134" w:left="1701" w:header="1142" w:footer="919" w:gutter="0"/>
      <w:cols w:space="1296"/>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64D89D" w14:textId="77777777" w:rsidR="0097135C" w:rsidRDefault="003D4B2A">
      <w:pPr>
        <w:suppressAutoHyphens/>
        <w:rPr>
          <w:lang w:eastAsia="lt-LT"/>
        </w:rPr>
      </w:pPr>
      <w:r>
        <w:rPr>
          <w:lang w:eastAsia="lt-LT"/>
        </w:rPr>
        <w:separator/>
      </w:r>
    </w:p>
  </w:endnote>
  <w:endnote w:type="continuationSeparator" w:id="0">
    <w:p w14:paraId="4E64D89E" w14:textId="77777777" w:rsidR="0097135C" w:rsidRDefault="003D4B2A">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64D8A0" w14:textId="77777777" w:rsidR="0097135C" w:rsidRDefault="0097135C">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64D8A1" w14:textId="77777777" w:rsidR="0097135C" w:rsidRDefault="0097135C">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64D8A3" w14:textId="77777777" w:rsidR="0097135C" w:rsidRDefault="0097135C">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64D89B" w14:textId="77777777" w:rsidR="0097135C" w:rsidRDefault="003D4B2A">
      <w:pPr>
        <w:suppressAutoHyphens/>
        <w:rPr>
          <w:lang w:eastAsia="lt-LT"/>
        </w:rPr>
      </w:pPr>
      <w:r>
        <w:rPr>
          <w:lang w:eastAsia="lt-LT"/>
        </w:rPr>
        <w:separator/>
      </w:r>
    </w:p>
  </w:footnote>
  <w:footnote w:type="continuationSeparator" w:id="0">
    <w:p w14:paraId="4E64D89C" w14:textId="77777777" w:rsidR="0097135C" w:rsidRDefault="003D4B2A">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64D89F" w14:textId="77777777" w:rsidR="0097135C" w:rsidRDefault="0097135C">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64D8A2" w14:textId="77777777" w:rsidR="0097135C" w:rsidRDefault="0097135C">
    <w:pPr>
      <w:tabs>
        <w:tab w:val="center" w:pos="4153"/>
        <w:tab w:val="right" w:pos="9100"/>
      </w:tabs>
      <w:suppressAutoHyphens/>
      <w:rPr>
        <w:rFonts w:ascii="Tahoma" w:hAnsi="Tahoma"/>
        <w:spacing w:val="10"/>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36865"/>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3A8F"/>
    <w:rsid w:val="003D4B2A"/>
    <w:rsid w:val="0097135C"/>
    <w:rsid w:val="00AB3A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4E64D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5537463">
      <w:bodyDiv w:val="1"/>
      <w:marLeft w:val="0"/>
      <w:marRight w:val="0"/>
      <w:marTop w:val="0"/>
      <w:marBottom w:val="0"/>
      <w:divBdr>
        <w:top w:val="none" w:sz="0" w:space="0" w:color="auto"/>
        <w:left w:val="none" w:sz="0" w:space="0" w:color="auto"/>
        <w:bottom w:val="none" w:sz="0" w:space="0" w:color="auto"/>
        <w:right w:val="none" w:sz="0" w:space="0" w:color="auto"/>
      </w:divBdr>
    </w:div>
    <w:div w:id="1586845426">
      <w:bodyDiv w:val="1"/>
      <w:marLeft w:val="0"/>
      <w:marRight w:val="0"/>
      <w:marTop w:val="0"/>
      <w:marBottom w:val="0"/>
      <w:divBdr>
        <w:top w:val="none" w:sz="0" w:space="0" w:color="auto"/>
        <w:left w:val="none" w:sz="0" w:space="0" w:color="auto"/>
        <w:bottom w:val="none" w:sz="0" w:space="0" w:color="auto"/>
        <w:right w:val="none" w:sz="0" w:space="0" w:color="auto"/>
      </w:divBdr>
    </w:div>
    <w:div w:id="1648584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3de6aa180a74bed85a2842a6cadcd79" PartId="e00ba04d2f814476838f30d4aec35a74">
    <Part Type="preambule" DocPartId="91bbb7533125477986c948c4fdad00bc" PartId="461ed11787854adbbd8ac83cbbf5da79"/>
    <Part Type="lentele" DocPartId="7e254a4e2a004219bee74eae7479c298" PartId="7d8fd49c47fd4701baca695a8c710967"/>
    <Part Type="signatura" DocPartId="3058c310b6f8403887e48984300bb29e" PartId="73f7787d00e6432ab1cbcc4a7544f54e"/>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4B7F09-1DBC-4513-B4D7-2EEE413720C1}">
  <ds:schemaRefs>
    <ds:schemaRef ds:uri="http://lrs.lt/TAIS/DocParts"/>
  </ds:schemaRefs>
</ds:datastoreItem>
</file>

<file path=customXml/itemProps2.xml><?xml version="1.0" encoding="utf-8"?>
<ds:datastoreItem xmlns:ds="http://schemas.openxmlformats.org/officeDocument/2006/customXml" ds:itemID="{E823060F-6004-4D72-B048-E82ACA09BA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2000</Words>
  <Characters>1141</Characters>
  <Application>Microsoft Office Word</Application>
  <DocSecurity>0</DocSecurity>
  <Lines>9</Lines>
  <Paragraphs>6</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3135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2019-12-31T11:20:00Z</dcterms:created>
  <dcterms:modified xsi:type="dcterms:W3CDTF">2019-12-31T11:50:00Z</dcterms:modified>
</cp:coreProperties>
</file>