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A5C0" w14:textId="77777777" w:rsidR="00C35BEA" w:rsidRDefault="00C35BE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55A5C1" w14:textId="77777777" w:rsidR="00C35BEA" w:rsidRDefault="00E009B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155A5FE" wp14:editId="5155A5F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A5C2" w14:textId="77777777" w:rsidR="00C35BEA" w:rsidRDefault="00C35BEA">
      <w:pPr>
        <w:jc w:val="center"/>
        <w:rPr>
          <w:caps/>
          <w:sz w:val="12"/>
          <w:szCs w:val="12"/>
        </w:rPr>
      </w:pPr>
    </w:p>
    <w:p w14:paraId="5155A5C3" w14:textId="77777777" w:rsidR="00C35BEA" w:rsidRDefault="00E009B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155A5C4" w14:textId="77777777" w:rsidR="00C35BEA" w:rsidRDefault="00E009B6">
      <w:pPr>
        <w:jc w:val="center"/>
        <w:rPr>
          <w:b/>
          <w:caps/>
        </w:rPr>
      </w:pPr>
      <w:r>
        <w:rPr>
          <w:b/>
          <w:caps/>
        </w:rPr>
        <w:t>ADMINISTRACINIŲ NUSIŽENGIMŲ KODEKSO IV SKYRIAUS PAVADINIMO, 569, 581, 589 STRAIPSNIŲ PAKEITIMO IR KODEKSO PAPILDYMO 21</w:t>
      </w:r>
      <w:r>
        <w:rPr>
          <w:b/>
          <w:caps/>
          <w:vertAlign w:val="superscript"/>
        </w:rPr>
        <w:t>1</w:t>
      </w:r>
      <w:r>
        <w:rPr>
          <w:b/>
          <w:caps/>
        </w:rPr>
        <w:t>, 555</w:t>
      </w:r>
      <w:r>
        <w:rPr>
          <w:b/>
          <w:caps/>
          <w:vertAlign w:val="superscript"/>
        </w:rPr>
        <w:t>1</w:t>
      </w:r>
      <w:r>
        <w:rPr>
          <w:b/>
          <w:caps/>
        </w:rPr>
        <w:t> STRAIPSNIAIS</w:t>
      </w:r>
    </w:p>
    <w:p w14:paraId="5155A5C5" w14:textId="77777777" w:rsidR="00C35BEA" w:rsidRDefault="00E009B6">
      <w:pPr>
        <w:jc w:val="center"/>
        <w:rPr>
          <w:caps/>
        </w:rPr>
      </w:pPr>
      <w:r>
        <w:rPr>
          <w:b/>
          <w:caps/>
        </w:rPr>
        <w:t>ĮSTATYMAS</w:t>
      </w:r>
    </w:p>
    <w:p w14:paraId="5155A5C6" w14:textId="77777777" w:rsidR="00C35BEA" w:rsidRDefault="00C35BEA">
      <w:pPr>
        <w:jc w:val="center"/>
        <w:rPr>
          <w:b/>
          <w:caps/>
        </w:rPr>
      </w:pPr>
    </w:p>
    <w:p w14:paraId="5155A5C7" w14:textId="77777777" w:rsidR="00C35BEA" w:rsidRDefault="00E009B6">
      <w:pPr>
        <w:jc w:val="center"/>
        <w:rPr>
          <w:szCs w:val="24"/>
        </w:rPr>
      </w:pPr>
      <w:r>
        <w:rPr>
          <w:szCs w:val="24"/>
        </w:rPr>
        <w:t>2018 m. gruodžio 20 d. Nr. XIII-1843</w:t>
      </w:r>
    </w:p>
    <w:p w14:paraId="5155A5C8" w14:textId="77777777" w:rsidR="00C35BEA" w:rsidRDefault="00E009B6">
      <w:pPr>
        <w:jc w:val="center"/>
        <w:rPr>
          <w:szCs w:val="24"/>
        </w:rPr>
      </w:pPr>
      <w:r>
        <w:rPr>
          <w:szCs w:val="24"/>
        </w:rPr>
        <w:t>Vilnius</w:t>
      </w:r>
    </w:p>
    <w:p w14:paraId="5155A5C9" w14:textId="77777777" w:rsidR="00C35BEA" w:rsidRDefault="00C35BEA">
      <w:pPr>
        <w:jc w:val="center"/>
        <w:rPr>
          <w:sz w:val="22"/>
        </w:rPr>
      </w:pPr>
    </w:p>
    <w:p w14:paraId="5155A5CA" w14:textId="77777777" w:rsidR="00C35BEA" w:rsidRDefault="00C35BEA">
      <w:pPr>
        <w:spacing w:line="360" w:lineRule="auto"/>
        <w:ind w:firstLine="720"/>
        <w:jc w:val="both"/>
        <w:rPr>
          <w:sz w:val="16"/>
          <w:szCs w:val="16"/>
        </w:rPr>
      </w:pPr>
    </w:p>
    <w:p w14:paraId="5155A5CB" w14:textId="77777777" w:rsidR="00C35BEA" w:rsidRDefault="00C35BEA">
      <w:pPr>
        <w:spacing w:line="360" w:lineRule="auto"/>
        <w:ind w:firstLine="720"/>
        <w:jc w:val="both"/>
        <w:sectPr w:rsidR="00C35B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5155A5CC" w14:textId="77777777" w:rsidR="00C35BEA" w:rsidRDefault="00C35BEA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14:paraId="5155A5CD" w14:textId="77777777" w:rsidR="00C35BEA" w:rsidRDefault="00E009B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IV skyriaus pavadinimo pakeitimas</w:t>
      </w:r>
    </w:p>
    <w:p w14:paraId="5155A5CE" w14:textId="77777777" w:rsidR="00C35BEA" w:rsidRDefault="00E009B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IV skyriaus pavadinimą ir jį išdėstyti taip:</w:t>
      </w:r>
    </w:p>
    <w:p w14:paraId="5155A5CF" w14:textId="77777777" w:rsidR="00C35BEA" w:rsidRDefault="00C35BEA">
      <w:pPr>
        <w:spacing w:line="360" w:lineRule="auto"/>
        <w:ind w:firstLine="720"/>
        <w:jc w:val="both"/>
        <w:rPr>
          <w:bCs/>
          <w:szCs w:val="24"/>
        </w:rPr>
      </w:pPr>
    </w:p>
    <w:p w14:paraId="5155A5D0" w14:textId="77777777" w:rsidR="00C35BEA" w:rsidRDefault="00E009B6">
      <w:pPr>
        <w:spacing w:line="360" w:lineRule="auto"/>
        <w:jc w:val="center"/>
        <w:rPr>
          <w:b/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IV</w:t>
      </w:r>
      <w:r>
        <w:rPr>
          <w:b/>
          <w:bCs/>
          <w:szCs w:val="24"/>
        </w:rPr>
        <w:t xml:space="preserve"> SKYRIUS</w:t>
      </w:r>
    </w:p>
    <w:p w14:paraId="5155A5D1" w14:textId="04C365EF" w:rsidR="00C35BEA" w:rsidRDefault="00E009B6">
      <w:pPr>
        <w:spacing w:line="360" w:lineRule="auto"/>
        <w:jc w:val="center"/>
        <w:rPr>
          <w:bCs/>
          <w:szCs w:val="24"/>
        </w:rPr>
      </w:pPr>
      <w:r>
        <w:rPr>
          <w:b/>
          <w:bCs/>
          <w:szCs w:val="24"/>
        </w:rPr>
        <w:t>APLINKYBĖS, KAI ASMUO NE</w:t>
      </w:r>
      <w:bookmarkStart w:id="0" w:name="_GoBack"/>
      <w:bookmarkEnd w:id="0"/>
      <w:r>
        <w:rPr>
          <w:b/>
          <w:bCs/>
          <w:szCs w:val="24"/>
        </w:rPr>
        <w:t>TRAUKIAMAS ADMINISTRACINĖN ATSAKOMYBĖN ARBA ATLEIDŽIAMAS NUO ADMINISTRACINĖS ATSAKOMYBĖS</w:t>
      </w:r>
      <w:r>
        <w:rPr>
          <w:bCs/>
          <w:szCs w:val="24"/>
        </w:rPr>
        <w:t>“.</w:t>
      </w:r>
    </w:p>
    <w:p w14:paraId="5155A5D2" w14:textId="77777777" w:rsidR="00C35BEA" w:rsidRDefault="00E009B6">
      <w:pPr>
        <w:spacing w:line="240" w:lineRule="atLeast"/>
        <w:ind w:firstLine="720"/>
        <w:jc w:val="both"/>
        <w:rPr>
          <w:bCs/>
          <w:szCs w:val="24"/>
        </w:rPr>
      </w:pPr>
    </w:p>
    <w:p w14:paraId="5155A5D3" w14:textId="77777777" w:rsidR="00C35BEA" w:rsidRDefault="00E009B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Kodekso papildymas 21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straipsniu</w:t>
      </w:r>
    </w:p>
    <w:p w14:paraId="5155A5D4" w14:textId="77777777" w:rsidR="00C35BEA" w:rsidRDefault="00E009B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Papildyti Kodeksą 21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straipsniu:</w:t>
      </w:r>
    </w:p>
    <w:p w14:paraId="5155A5D5" w14:textId="77777777" w:rsidR="00C35BEA" w:rsidRDefault="00E009B6">
      <w:pPr>
        <w:spacing w:line="360" w:lineRule="auto"/>
        <w:ind w:firstLine="720"/>
        <w:jc w:val="both"/>
        <w:rPr>
          <w:szCs w:val="24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21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</w:rPr>
        <w:t xml:space="preserve">straipsnis. </w:t>
      </w:r>
      <w:r>
        <w:rPr>
          <w:b/>
          <w:bCs/>
          <w:color w:val="000000"/>
          <w:szCs w:val="24"/>
          <w:lang w:eastAsia="lt-LT"/>
        </w:rPr>
        <w:t>Pranešėjo atleidimas nuo a</w:t>
      </w:r>
      <w:r>
        <w:rPr>
          <w:b/>
          <w:bCs/>
          <w:color w:val="000000"/>
          <w:szCs w:val="24"/>
          <w:lang w:eastAsia="lt-LT"/>
        </w:rPr>
        <w:t>dministracinės atsakomybės</w:t>
      </w:r>
    </w:p>
    <w:p w14:paraId="5155A5D6" w14:textId="77777777" w:rsidR="00C35BEA" w:rsidRDefault="00E009B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Asmuo, padaręs administracinį nusižengimą, atleidžiamas nuo administracinės atsakomybės, jeigu:</w:t>
      </w:r>
    </w:p>
    <w:p w14:paraId="5155A5D7" w14:textId="77777777" w:rsidR="00C35BEA" w:rsidRDefault="00E009B6">
      <w:pPr>
        <w:suppressAutoHyphens/>
        <w:spacing w:line="360" w:lineRule="auto"/>
        <w:ind w:firstLine="720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1</w:t>
      </w:r>
      <w:r>
        <w:rPr>
          <w:rFonts w:eastAsia="SimSun"/>
          <w:kern w:val="3"/>
          <w:szCs w:val="24"/>
          <w:lang w:eastAsia="zh-CN" w:bidi="hi-IN"/>
        </w:rPr>
        <w:t>) jis</w:t>
      </w:r>
      <w:r>
        <w:rPr>
          <w:rFonts w:eastAsia="SimSun"/>
          <w:color w:val="000000"/>
          <w:kern w:val="3"/>
          <w:szCs w:val="24"/>
          <w:lang w:eastAsia="lt-LT" w:bidi="hi-IN"/>
        </w:rPr>
        <w:t xml:space="preserve"> pripažintas pranešėju pagal Lietuvos Respublikos pranešėjų apsaugos įstatymą ir</w:t>
      </w:r>
    </w:p>
    <w:p w14:paraId="5155A5D8" w14:textId="77777777" w:rsidR="00C35BEA" w:rsidRDefault="00E009B6">
      <w:pPr>
        <w:suppressAutoHyphens/>
        <w:spacing w:line="360" w:lineRule="auto"/>
        <w:ind w:firstLine="720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2</w:t>
      </w:r>
      <w:r>
        <w:rPr>
          <w:rFonts w:eastAsia="SimSun"/>
          <w:kern w:val="3"/>
          <w:szCs w:val="24"/>
          <w:lang w:eastAsia="zh-CN" w:bidi="hi-IN"/>
        </w:rPr>
        <w:t xml:space="preserve">) prisipažino padaręs administracinį </w:t>
      </w:r>
      <w:r>
        <w:rPr>
          <w:rFonts w:eastAsia="SimSun"/>
          <w:kern w:val="3"/>
          <w:szCs w:val="24"/>
          <w:lang w:eastAsia="zh-CN" w:bidi="hi-IN"/>
        </w:rPr>
        <w:t>nusižengimą, ir</w:t>
      </w:r>
    </w:p>
    <w:p w14:paraId="5155A5D9" w14:textId="77777777" w:rsidR="00C35BEA" w:rsidRDefault="00E009B6">
      <w:pPr>
        <w:suppressAutoHyphens/>
        <w:spacing w:line="360" w:lineRule="auto"/>
        <w:ind w:firstLine="720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3</w:t>
      </w:r>
      <w:r>
        <w:rPr>
          <w:rFonts w:eastAsia="SimSun"/>
          <w:kern w:val="3"/>
          <w:szCs w:val="24"/>
          <w:lang w:eastAsia="zh-CN" w:bidi="hi-IN"/>
        </w:rPr>
        <w:t>) aktyviai padėjo išaiškinti kito asmens padarytą administracinį nusižengimą, ir</w:t>
      </w:r>
    </w:p>
    <w:p w14:paraId="5155A5DA" w14:textId="77777777" w:rsidR="00C35BEA" w:rsidRDefault="00E009B6">
      <w:pPr>
        <w:suppressAutoHyphens/>
        <w:spacing w:line="360" w:lineRule="auto"/>
        <w:ind w:firstLine="720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lt-LT" w:bidi="hi-IN"/>
        </w:rPr>
        <w:t>4</w:t>
      </w:r>
      <w:r>
        <w:rPr>
          <w:rFonts w:eastAsia="SimSun"/>
          <w:kern w:val="3"/>
          <w:szCs w:val="24"/>
          <w:lang w:eastAsia="lt-LT" w:bidi="hi-IN"/>
        </w:rPr>
        <w:t>) administracinis nusižengimas, kurį asmuo padėjo išaiškinti, dėl savo pobūdžio laikytinas pavojingesniu už jo paties padarytą administracinį nusižen</w:t>
      </w:r>
      <w:r>
        <w:rPr>
          <w:rFonts w:eastAsia="SimSun"/>
          <w:kern w:val="3"/>
          <w:szCs w:val="24"/>
          <w:lang w:eastAsia="lt-LT" w:bidi="hi-IN"/>
        </w:rPr>
        <w:t>gimą.“</w:t>
      </w:r>
    </w:p>
    <w:p w14:paraId="5155A5DB" w14:textId="77777777" w:rsidR="00C35BEA" w:rsidRDefault="00E009B6">
      <w:pPr>
        <w:spacing w:line="240" w:lineRule="atLeast"/>
        <w:ind w:firstLine="720"/>
        <w:jc w:val="both"/>
        <w:rPr>
          <w:bCs/>
          <w:szCs w:val="24"/>
        </w:rPr>
      </w:pPr>
    </w:p>
    <w:p w14:paraId="5155A5DC" w14:textId="77777777" w:rsidR="00C35BEA" w:rsidRDefault="00E009B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Kodekso papildymas 555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straipsniu</w:t>
      </w:r>
    </w:p>
    <w:p w14:paraId="5155A5DD" w14:textId="77777777" w:rsidR="00C35BEA" w:rsidRDefault="00E009B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Papildyti Kodeksą 555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straipsniu:</w:t>
      </w:r>
    </w:p>
    <w:p w14:paraId="5155A5DE" w14:textId="77777777" w:rsidR="00C35BEA" w:rsidRDefault="00E009B6">
      <w:pPr>
        <w:spacing w:line="360" w:lineRule="auto"/>
        <w:ind w:left="2552" w:hanging="1832"/>
        <w:jc w:val="both"/>
        <w:rPr>
          <w:b/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555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szCs w:val="24"/>
        </w:rPr>
        <w:t>Lietuvos Respublikos pranešėjų apsaugos įstatyme ir (ar) kituose teisės aktuose nustatytų pranešėjų apsaugos reikalavimų pažeidi</w:t>
      </w:r>
      <w:r>
        <w:rPr>
          <w:b/>
          <w:szCs w:val="24"/>
        </w:rPr>
        <w:t>mas</w:t>
      </w:r>
    </w:p>
    <w:p w14:paraId="5155A5DF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 xml:space="preserve">. </w:t>
      </w:r>
      <w:r>
        <w:rPr>
          <w:szCs w:val="24"/>
        </w:rPr>
        <w:t>Lietuvos Respublikos pranešėjų apsaugos įstatyme ir (ar) kituose teisės aktuose nustatytų pranešėjų apsaugos reikalavimų pažeidimas</w:t>
      </w:r>
    </w:p>
    <w:p w14:paraId="5155A5E0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užtraukia baudą nuo vieno šimto keturiasdešimt iki trijų šimtų eurų.</w:t>
      </w:r>
    </w:p>
    <w:p w14:paraId="5155A5E1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 xml:space="preserve">. Šio straipsnio 1 dalyje numatytas </w:t>
      </w:r>
      <w:r>
        <w:rPr>
          <w:bCs/>
          <w:color w:val="000000"/>
          <w:szCs w:val="24"/>
        </w:rPr>
        <w:t>administracinis nusižengimas, padarytas pakartotinai,</w:t>
      </w:r>
    </w:p>
    <w:p w14:paraId="5155A5E2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užtraukia baudą nuo trijų šimtų iki penkių šimtų eurų.</w:t>
      </w:r>
    </w:p>
    <w:p w14:paraId="5155A5E3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. Šio straipsnio 1 dalyje numatytas administracinis nusižengimas, jeigu dėl to buvo atskleista </w:t>
      </w:r>
      <w:r>
        <w:rPr>
          <w:color w:val="000000"/>
          <w:szCs w:val="24"/>
        </w:rPr>
        <w:t>informaciją apie pažeidimą pateikusio asmens ta</w:t>
      </w:r>
      <w:r>
        <w:rPr>
          <w:color w:val="000000"/>
          <w:szCs w:val="24"/>
        </w:rPr>
        <w:t>patybė,</w:t>
      </w:r>
      <w:r>
        <w:rPr>
          <w:bCs/>
          <w:color w:val="000000"/>
          <w:szCs w:val="24"/>
        </w:rPr>
        <w:t xml:space="preserve"> arba draudimo daryti neigiamą poveikį informaciją apie pažeidimus pateikusiems asmenims nesilaikymas</w:t>
      </w:r>
    </w:p>
    <w:p w14:paraId="5155A5E4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užtraukia baudą nuo vieno tūkstančio iki dviejų tūkstančių eurų.</w:t>
      </w:r>
    </w:p>
    <w:p w14:paraId="5155A5E5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</w:t>
      </w:r>
      <w:r>
        <w:rPr>
          <w:bCs/>
          <w:color w:val="000000"/>
          <w:szCs w:val="24"/>
        </w:rPr>
        <w:t>. Šio straipsnio 3 dalyje numatytas administracinis nusižengimas, padarytas p</w:t>
      </w:r>
      <w:r>
        <w:rPr>
          <w:bCs/>
          <w:color w:val="000000"/>
          <w:szCs w:val="24"/>
        </w:rPr>
        <w:t>akartotinai,</w:t>
      </w:r>
    </w:p>
    <w:p w14:paraId="5155A5E6" w14:textId="77777777" w:rsidR="00C35BEA" w:rsidRDefault="00E009B6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Cs/>
          <w:color w:val="000000"/>
          <w:szCs w:val="24"/>
        </w:rPr>
        <w:t>užtraukia baudą nuo dviejų tūkstančių iki keturių tūkstančių eurų.</w:t>
      </w:r>
      <w:r>
        <w:rPr>
          <w:color w:val="000000"/>
          <w:szCs w:val="24"/>
        </w:rPr>
        <w:t>“</w:t>
      </w:r>
    </w:p>
    <w:p w14:paraId="5155A5E7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</w:p>
    <w:p w14:paraId="5155A5E8" w14:textId="77777777" w:rsidR="00C35BEA" w:rsidRDefault="00E009B6"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4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569 straipsnio pakeitimas</w:t>
      </w:r>
    </w:p>
    <w:p w14:paraId="5155A5E9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Papildyti 569 straipsnį 5 dalimi:</w:t>
      </w:r>
    </w:p>
    <w:p w14:paraId="5155A5EA" w14:textId="77777777" w:rsidR="00C35BEA" w:rsidRDefault="00E009B6">
      <w:pPr>
        <w:spacing w:line="360" w:lineRule="auto"/>
        <w:ind w:firstLine="720"/>
        <w:jc w:val="both"/>
        <w:rPr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5</w:t>
      </w:r>
      <w:r>
        <w:rPr>
          <w:bCs/>
          <w:color w:val="000000"/>
          <w:szCs w:val="24"/>
        </w:rPr>
        <w:t>. A</w:t>
      </w:r>
      <w:r>
        <w:rPr>
          <w:szCs w:val="24"/>
        </w:rPr>
        <w:t>dministracinio nusižengimo padarymo faktas, administracinėn atsakomybėn traukia</w:t>
      </w:r>
      <w:r>
        <w:rPr>
          <w:szCs w:val="24"/>
        </w:rPr>
        <w:t>mo asmens kaltė, aplinkybės, turinčios reikšmės bylai teisingai išnagrinėti, negali būti pagrįstos vien tik liudytojų, kurių konfidencialumas yra užtikrintas, parodymais.“</w:t>
      </w:r>
    </w:p>
    <w:p w14:paraId="5155A5EB" w14:textId="77777777" w:rsidR="00C35BEA" w:rsidRDefault="00E009B6">
      <w:pPr>
        <w:spacing w:line="360" w:lineRule="auto"/>
        <w:ind w:firstLine="720"/>
        <w:jc w:val="both"/>
        <w:rPr>
          <w:bCs/>
          <w:color w:val="000000"/>
          <w:szCs w:val="24"/>
        </w:rPr>
      </w:pPr>
    </w:p>
    <w:p w14:paraId="5155A5EC" w14:textId="77777777" w:rsidR="00C35BEA" w:rsidRDefault="00E009B6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 xml:space="preserve">581 straipsnio pakeitimas </w:t>
      </w:r>
    </w:p>
    <w:p w14:paraId="5155A5ED" w14:textId="77777777" w:rsidR="00C35BEA" w:rsidRDefault="00E009B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Papildyti 581 straipsnį 5 dalimi: </w:t>
      </w:r>
    </w:p>
    <w:p w14:paraId="5155A5EE" w14:textId="77777777" w:rsidR="00C35BEA" w:rsidRDefault="00E009B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 Asmenys, kurių konfidencialumas turi būti užtikrinamas Pranešėjų apsaugos įstatymo nustatyta tvarka, liudyti paprastai nešaukiami. Kai tokio asmens parodymai turi esminę reikšmę bylai teisingai išnagrinėti ir jam ne</w:t>
      </w:r>
      <w:r>
        <w:rPr>
          <w:szCs w:val="24"/>
        </w:rPr>
        <w:t>dalyvaujant nėra kitų galimybių nustatyti bylai reikšmingas aplinkybes, teismas motyvuota nutartimi arba administracinio nusižengimo bylą ne teismo tvarka nagrinėjanti institucija (pareigūnas) motyvuotu nutarimu gali nuspręsti asmenį, kurio konfidencialuma</w:t>
      </w:r>
      <w:r>
        <w:rPr>
          <w:szCs w:val="24"/>
        </w:rPr>
        <w:t xml:space="preserve">s turi būti užtikrintas, šaukti liudytoju. Teismas arba administracinio nusižengimo bylą ne teismo tvarka nagrinėjanti institucija (pareigūnas) gali pavesti policijai taip organizuoti šioje dalyje numatyto liudytojo atvykimą į teismą, kad būtų užtikrintas </w:t>
      </w:r>
      <w:r>
        <w:rPr>
          <w:szCs w:val="24"/>
        </w:rPr>
        <w:t>jo konfidencialumas. Teismas ar administracinio nusižengimo bylą ne teismo tvarka nagrinėjanti institucija (pareigūnas) privalo imtis priemonių, kad asmens, kurio konfidencialumas turi būti užtikrintas, tapatybė nebūtų atskleista proceso dalyviams ar kitie</w:t>
      </w:r>
      <w:r>
        <w:rPr>
          <w:szCs w:val="24"/>
        </w:rPr>
        <w:t>ms asmenims. Šio liudytojo asmens duomenys surašomi atskirame procesinio dokumento priede, kuris laikomas voke ir saugomas atskirai nuo bylos medžiagos. Liudytojas gali būti apklausiamas garso ir vaizdo nuotolinio perdavimo priemonėmis sudarius akustines i</w:t>
      </w:r>
      <w:r>
        <w:rPr>
          <w:szCs w:val="24"/>
        </w:rPr>
        <w:t xml:space="preserve">r vizualines kliūtis nustatyti jo asmens </w:t>
      </w:r>
      <w:r>
        <w:rPr>
          <w:szCs w:val="24"/>
        </w:rPr>
        <w:lastRenderedPageBreak/>
        <w:t>tapatybę. Šiuo atveju liudytojo parodymai fiksuojami garso ar vaizdo įrašu sudarius akustines ir vizualines kliūtis nustatyti jo tapatybę arba įrašomi apklausos protokole.“</w:t>
      </w:r>
    </w:p>
    <w:p w14:paraId="5155A5EF" w14:textId="77777777" w:rsidR="00C35BEA" w:rsidRDefault="00E009B6">
      <w:pPr>
        <w:spacing w:line="360" w:lineRule="auto"/>
        <w:ind w:firstLine="720"/>
        <w:jc w:val="both"/>
        <w:rPr>
          <w:bCs/>
          <w:szCs w:val="24"/>
        </w:rPr>
      </w:pPr>
    </w:p>
    <w:p w14:paraId="5155A5F0" w14:textId="77777777" w:rsidR="00C35BEA" w:rsidRDefault="00E009B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589 straipsnio pa</w:t>
      </w:r>
      <w:r>
        <w:rPr>
          <w:b/>
          <w:bCs/>
          <w:szCs w:val="24"/>
        </w:rPr>
        <w:t>keitimas</w:t>
      </w:r>
    </w:p>
    <w:p w14:paraId="5155A5F1" w14:textId="77777777" w:rsidR="00C35BEA" w:rsidRDefault="00E009B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>
        <w:rPr>
          <w:szCs w:val="24"/>
          <w:lang w:eastAsia="lt-LT"/>
        </w:rPr>
        <w:t>Pakeisti 589 straipsnio 6 punktą ir jį išdėstyti taip:</w:t>
      </w:r>
    </w:p>
    <w:p w14:paraId="5155A5F2" w14:textId="77777777" w:rsidR="00C35BEA" w:rsidRDefault="00E009B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prokurorai – dėl šio kodekso 505,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507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ir 555</w:t>
      </w:r>
      <w:r>
        <w:rPr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straipsniuose numatytų administracinių nusižengimų;“.</w:t>
      </w:r>
    </w:p>
    <w:p w14:paraId="5155A5F3" w14:textId="77777777" w:rsidR="00C35BEA" w:rsidRDefault="00E009B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589 straipsnio 49 punktą ir jį išdėstyti taip:</w:t>
      </w:r>
    </w:p>
    <w:p w14:paraId="5155A5F4" w14:textId="77777777" w:rsidR="00C35BEA" w:rsidRDefault="00E009B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49</w:t>
      </w:r>
      <w:r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policijos – dėl šio kodekso 48, 62, 63, 65, 69, 71, 72, 73, 74 straipsniuose, 75 straipsnio 1 dalyje, 76, 77, 78, 80, 88, 89, 95 straipsniuose, 98 straipsnio 1 dalyje, 108, 109, 115, 122, 125, 127, 130, 131, 133, 134, 137, 142, 143, 150, 151, 152, 153, 154</w:t>
      </w:r>
      <w:r>
        <w:rPr>
          <w:color w:val="000000"/>
          <w:szCs w:val="24"/>
        </w:rPr>
        <w:t>, 155, 159, 160, 161, 162, 163, 164, 166, 167, 168, 169, 170, 171 straipsniuose, 172 straipsnio 1, 2 dalyse, 173, 174, 176, 182, 183, 192, 206, 207, 208, 209, 209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214, 219, 220, 224, 225, 226, 227, 228, 229, 230, 231, 232, 233, 234, 234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234</w:t>
      </w: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>straipsniu</w:t>
      </w:r>
      <w:r>
        <w:rPr>
          <w:color w:val="000000"/>
          <w:szCs w:val="24"/>
        </w:rPr>
        <w:t>ose, 281 straipsnio 1, 2 dalyse, 282, 290, 306, 307, 321, 336, 339, 340, 342, 346, 366, 367, 368 straipsniuose, 369 straipsnio 5, 6 dalyse, 414, 415, 416, 417, 420, 421, 422, 423, 424 straipsniuose, 426 straipsnio 1, 2, 3, 5 dalyse, 427, 428, 429, 430, 431</w:t>
      </w:r>
      <w:r>
        <w:rPr>
          <w:color w:val="000000"/>
          <w:szCs w:val="24"/>
        </w:rPr>
        <w:t>, 432, 433 straipsniuose, 434 straipsnio 1, 3 dalyse, 436, 438 straipsniuose, 439 straipsnio 2 dalyje, 450, 451, 452, 453, 454, 455, 456, 458, 459, 460, 461, 462, 463, 473, 474 straipsniuose, 479 straipsnio 3, 4 dalyse, 480 straipsnio 1 dalyje, 481, 482, 4</w:t>
      </w:r>
      <w:r>
        <w:rPr>
          <w:color w:val="000000"/>
          <w:szCs w:val="24"/>
        </w:rPr>
        <w:t>83, 484, 484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485, 486, 487, 488, 489, 490, 491, 492, 493, 494, 494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495 straipsniuose, 496 straipsnio 1, 2 dalyse, 506 straipsnio 1, 2, 4, 5, 6 dalyse, 507, 508, 510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, 511, 512, 513, 518, 519, 520, 521, 523, 524, 527, 528, 530, 532, 534, 535, 538, 539, </w:t>
      </w:r>
      <w:r>
        <w:rPr>
          <w:color w:val="000000"/>
          <w:szCs w:val="24"/>
        </w:rPr>
        <w:t>540, 541 straipsniuose, 542 straipsnio 1, 2, 3 dalyse, 543, 546, 553, 555</w:t>
      </w:r>
      <w:r>
        <w:rPr>
          <w:color w:val="000000"/>
          <w:szCs w:val="24"/>
          <w:vertAlign w:val="superscript"/>
        </w:rPr>
        <w:t xml:space="preserve">1 </w:t>
      </w:r>
      <w:r>
        <w:rPr>
          <w:color w:val="000000"/>
          <w:szCs w:val="24"/>
        </w:rPr>
        <w:t>straipsniuose numatytų administracinių nusižengimų;“.</w:t>
      </w:r>
    </w:p>
    <w:p w14:paraId="5155A5F5" w14:textId="77777777" w:rsidR="00C35BEA" w:rsidRDefault="00E009B6">
      <w:pPr>
        <w:spacing w:line="360" w:lineRule="auto"/>
        <w:ind w:firstLine="720"/>
        <w:jc w:val="both"/>
        <w:rPr>
          <w:bCs/>
          <w:szCs w:val="24"/>
        </w:rPr>
      </w:pPr>
    </w:p>
    <w:p w14:paraId="5155A5F6" w14:textId="77777777" w:rsidR="00C35BEA" w:rsidRDefault="00E009B6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</w:t>
      </w:r>
    </w:p>
    <w:p w14:paraId="5155A5F7" w14:textId="77777777" w:rsidR="00C35BEA" w:rsidRDefault="00E009B6">
      <w:pPr>
        <w:spacing w:line="36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Šis įstatymas įsigalioja 2019 m. sausio 1 d.</w:t>
      </w:r>
    </w:p>
    <w:p w14:paraId="5155A5F8" w14:textId="77777777" w:rsidR="00C35BEA" w:rsidRDefault="00E009B6">
      <w:pPr>
        <w:spacing w:line="360" w:lineRule="auto"/>
        <w:ind w:firstLine="720"/>
        <w:jc w:val="both"/>
      </w:pPr>
    </w:p>
    <w:p w14:paraId="5155A5F9" w14:textId="77777777" w:rsidR="00C35BEA" w:rsidRDefault="00E009B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</w:t>
      </w:r>
      <w:r>
        <w:rPr>
          <w:i/>
          <w:szCs w:val="24"/>
        </w:rPr>
        <w:t>likos Seimo priimtą įstatymą.</w:t>
      </w:r>
    </w:p>
    <w:p w14:paraId="5155A5FA" w14:textId="77777777" w:rsidR="00C35BEA" w:rsidRDefault="00C35BEA">
      <w:pPr>
        <w:spacing w:line="360" w:lineRule="auto"/>
        <w:rPr>
          <w:i/>
          <w:szCs w:val="24"/>
        </w:rPr>
      </w:pPr>
    </w:p>
    <w:p w14:paraId="5155A5FB" w14:textId="77777777" w:rsidR="00C35BEA" w:rsidRDefault="00C35BEA">
      <w:pPr>
        <w:spacing w:line="360" w:lineRule="auto"/>
        <w:rPr>
          <w:i/>
          <w:szCs w:val="24"/>
        </w:rPr>
      </w:pPr>
    </w:p>
    <w:p w14:paraId="5155A5FC" w14:textId="77777777" w:rsidR="00C35BEA" w:rsidRDefault="00C35BEA">
      <w:pPr>
        <w:spacing w:line="360" w:lineRule="auto"/>
      </w:pPr>
    </w:p>
    <w:p w14:paraId="5155A5FD" w14:textId="77777777" w:rsidR="00C35BEA" w:rsidRDefault="00E009B6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C35B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5A602" w14:textId="77777777" w:rsidR="00C35BEA" w:rsidRDefault="00E009B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155A603" w14:textId="77777777" w:rsidR="00C35BEA" w:rsidRDefault="00E009B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8" w14:textId="77777777" w:rsidR="00C35BEA" w:rsidRDefault="00E009B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155A609" w14:textId="77777777" w:rsidR="00C35BEA" w:rsidRDefault="00C35BE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A" w14:textId="77777777" w:rsidR="00C35BEA" w:rsidRDefault="00E009B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155A60B" w14:textId="77777777" w:rsidR="00C35BEA" w:rsidRDefault="00C35BE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D" w14:textId="77777777" w:rsidR="00C35BEA" w:rsidRDefault="00C35BE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12" w14:textId="77777777" w:rsidR="00C35BEA" w:rsidRDefault="00E009B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155A613" w14:textId="77777777" w:rsidR="00C35BEA" w:rsidRDefault="00C35BE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14" w14:textId="77777777" w:rsidR="00C35BEA" w:rsidRDefault="00C35BE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16" w14:textId="77777777" w:rsidR="00C35BEA" w:rsidRDefault="00C35BE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5A600" w14:textId="77777777" w:rsidR="00C35BEA" w:rsidRDefault="00E009B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155A601" w14:textId="77777777" w:rsidR="00C35BEA" w:rsidRDefault="00E009B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4" w14:textId="77777777" w:rsidR="00C35BEA" w:rsidRDefault="00E009B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155A605" w14:textId="77777777" w:rsidR="00C35BEA" w:rsidRDefault="00C35BE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6" w14:textId="77777777" w:rsidR="00C35BEA" w:rsidRDefault="00E009B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155A607" w14:textId="77777777" w:rsidR="00C35BEA" w:rsidRDefault="00C35BE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C" w14:textId="77777777" w:rsidR="00C35BEA" w:rsidRDefault="00C35BE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0E" w14:textId="77777777" w:rsidR="00C35BEA" w:rsidRDefault="00E009B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155A60F" w14:textId="77777777" w:rsidR="00C35BEA" w:rsidRDefault="00C35BE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10" w14:textId="77777777" w:rsidR="00C35BEA" w:rsidRDefault="00E009B6">
    <w:pPr>
      <w:framePr w:wrap="auto" w:vAnchor="text" w:hAnchor="page" w:x="6337" w:y="15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noProof/>
        <w:szCs w:val="24"/>
        <w:lang w:val="en-US"/>
      </w:rPr>
      <w:t>2</w:t>
    </w:r>
    <w:r>
      <w:rPr>
        <w:rFonts w:ascii="TimesLT" w:hAnsi="TimesLT"/>
        <w:szCs w:val="24"/>
        <w:lang w:val="en-US"/>
      </w:rPr>
      <w:fldChar w:fldCharType="end"/>
    </w:r>
  </w:p>
  <w:p w14:paraId="5155A611" w14:textId="77777777" w:rsidR="00C35BEA" w:rsidRDefault="00C35BE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A615" w14:textId="77777777" w:rsidR="00C35BEA" w:rsidRDefault="00C35BE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6"/>
    <w:rsid w:val="009A0436"/>
    <w:rsid w:val="00C35BEA"/>
    <w:rsid w:val="00E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09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0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oter" Target="footer4.xml"/>
  <Relationship Id="rId18" Type="http://schemas.openxmlformats.org/officeDocument/2006/relationships/footer" Target="footer5.xml"/>
  <Relationship Id="rId19" Type="http://schemas.openxmlformats.org/officeDocument/2006/relationships/header" Target="header6.xml"/>
  <Relationship Id="rId2" Type="http://schemas.openxmlformats.org/officeDocument/2006/relationships/styles" Target="styles.xml"/>
  <Relationship Id="rId20" Type="http://schemas.openxmlformats.org/officeDocument/2006/relationships/footer" Target="footer6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6"/>
    <w:rsid w:val="00D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50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850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6007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2018-12-28T13:29:00Z</dcterms:created>
  <dc:creator>MANIUŠKIENĖ Violeta</dc:creator>
  <lastModifiedBy>TRAPINSKIENĖ Aušrinė</lastModifiedBy>
  <lastPrinted>2004-12-10T05:45:00Z</lastPrinted>
  <dcterms:modified xsi:type="dcterms:W3CDTF">2018-12-28T14:27:00Z</dcterms:modified>
  <revision>3</revision>
</coreProperties>
</file>