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d0cdce8ab444578b3647a4e5f9a0897"/>
        <w:lock w:val="sdtLocked"/>
        <w:richText/>
      </w:sdtPr>
      <w:sdtContent>
        <w:p w14:paraId="483DEDC6" w14:textId="77777777">
          <w:pPr>
            <w:suppressAutoHyphens/>
            <w:jc w:val="center"/>
            <w:rPr>
              <w:b/>
              <w:bCs/>
              <w:lang w:eastAsia="ar-SA"/>
            </w:rPr>
          </w:pPr>
          <w:r>
            <w:rPr>
              <w:b/>
              <w:bCs/>
              <w:lang w:eastAsia="ar-SA"/>
            </w:rPr>
            <w:t>ĮSAKYMAS</w:t>
          </w:r>
        </w:p>
        <w:p w14:paraId="0AD792A2" w14:textId="22A5D684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bCs/>
              <w:lang w:eastAsia="ar-SA"/>
            </w:rPr>
            <w:t>DĖL PAREIGYBIŲ SĄRAŠO SUDARYMO</w:t>
          </w:r>
        </w:p>
        <w:p w14:paraId="0B211231" w14:textId="77777777">
          <w:pPr>
            <w:suppressAutoHyphens/>
            <w:jc w:val="center"/>
            <w:rPr>
              <w:b/>
              <w:lang w:eastAsia="ar-SA"/>
            </w:rPr>
          </w:pPr>
        </w:p>
        <w:p w14:paraId="0EC3A444" w14:textId="4B0DB2EA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2022 m. sausio 10 d. Nr. V13-11</w:t>
          </w:r>
        </w:p>
        <w:p w14:paraId="02817C9B" w14:textId="77777777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Neringa</w:t>
          </w:r>
        </w:p>
        <w:p w14:paraId="3C95E6C1" w14:textId="77777777">
          <w:pPr>
            <w:tabs>
              <w:tab w:val="left" w:pos="1418"/>
            </w:tabs>
            <w:suppressAutoHyphens/>
            <w:ind w:firstLine="851"/>
            <w:rPr>
              <w:lang w:eastAsia="ar-SA"/>
            </w:rPr>
          </w:pPr>
        </w:p>
        <w:p w14:paraId="3AA60952" w14:textId="22995EF1">
          <w:pPr>
            <w:tabs>
              <w:tab w:val="left" w:pos="1134"/>
              <w:tab w:val="left" w:pos="1276"/>
            </w:tabs>
            <w:suppressAutoHyphens/>
            <w:ind w:firstLine="1276"/>
            <w:jc w:val="both"/>
            <w:rPr>
              <w:lang w:eastAsia="ar-SA"/>
            </w:rPr>
          </w:pPr>
          <w:r>
            <w:rPr>
              <w:lang w:eastAsia="ar-SA"/>
            </w:rPr>
            <w:t>Vadovaudamasis Lietuvos Respublikos vietos savivaldos įstatymo 18 straipsnio 1 dalimi, 29 straipsnio 5 dalimi, 8 dalies 2 punktu, Lietuvos Respublikos korupcijos prevencijos įstatymo 17 straipsnio 5 dalimi ir atsižvelgdamas į Lietuvos Respublikos specialiųjų tyrimų tarnybos 2021-11-24 raštą Nr. 4-01-8858 „Dėl pareigybių sąrašo sudarymo“:</w:t>
          </w:r>
        </w:p>
        <w:sdt>
          <w:sdtPr>
            <w:alias w:val="1 p."/>
            <w:tag w:val="part_20b6ed85a86d4ef79ecdaec7edad2eaf"/>
            <w:lock w:val="sdtLocked"/>
            <w:richText/>
          </w:sdtPr>
          <w:sdtContent>
            <w:p w14:paraId="064FA791" w14:textId="41A09937">
              <w:pPr>
                <w:tabs>
                  <w:tab w:val="left" w:pos="0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0b6ed85a86d4ef79ecdaec7edad2ea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pacing w:val="60"/>
                  <w:szCs w:val="24"/>
                  <w:lang w:eastAsia="ar-SA"/>
                </w:rPr>
                <w:t xml:space="preserve">Sudarau </w:t>
              </w:r>
              <w:r>
                <w:rPr>
                  <w:szCs w:val="24"/>
                  <w:lang w:eastAsia="ar-SA"/>
                </w:rPr>
                <w:t>Neringos savivaldybės administracijos ir uždarųjų akcinių bendrovių pareigybių, dėl kurių, prieš skiriant asmenį į pareigas įstaigoje, prašoma Lietuvos Respublikos specialiųjų tyrimų tarnybos raštu pateikti informaciją apie skirtiną asmenį, sąrašą:</w:t>
              </w:r>
            </w:p>
            <w:sdt>
              <w:sdtPr>
                <w:alias w:val="1.1 pp."/>
                <w:tag w:val="part_8e016614c8144b4db4838100a45679b9"/>
                <w:lock w:val="sdtLocked"/>
                <w:richText/>
              </w:sdtPr>
              <w:sdtContent>
                <w:p w14:paraId="18F97397" w14:textId="4FB0C3CF">
                  <w:pPr>
                    <w:tabs>
                      <w:tab w:val="left" w:pos="0"/>
                    </w:tabs>
                    <w:suppressAutoHyphens/>
                    <w:ind w:left="156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e016614c8144b4db4838100a45679b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struktūrinių padalinių vedėjai;</w:t>
                  </w:r>
                </w:p>
              </w:sdtContent>
            </w:sdt>
            <w:sdt>
              <w:sdtPr>
                <w:alias w:val="1.2 pp."/>
                <w:tag w:val="part_87999b4baa584d95853cacba3a6ca0c7"/>
                <w:lock w:val="sdtLocked"/>
                <w:richText/>
              </w:sdtPr>
              <w:sdtContent>
                <w:p w14:paraId="55A596E8" w14:textId="0A4530B7">
                  <w:pPr>
                    <w:suppressAutoHyphens/>
                    <w:ind w:left="156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7999b4baa584d95853cacba3a6ca0c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struktūrinių padalinių vedėjų pavaduotojai;</w:t>
                  </w:r>
                </w:p>
              </w:sdtContent>
            </w:sdt>
            <w:sdt>
              <w:sdtPr>
                <w:alias w:val="1.3 pp."/>
                <w:tag w:val="part_ac2b167a238541838bec74488b827ff5"/>
                <w:lock w:val="sdtLocked"/>
                <w:richText/>
              </w:sdtPr>
              <w:sdtContent>
                <w:p w14:paraId="517700A7" w14:textId="680DFCE3">
                  <w:pPr>
                    <w:suppressAutoHyphens/>
                    <w:ind w:left="156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c2b167a238541838bec74488b827ff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uždarųjų akcinių bendrovių vadovai.</w:t>
                  </w:r>
                </w:p>
              </w:sdtContent>
            </w:sdt>
          </w:sdtContent>
        </w:sdt>
        <w:sdt>
          <w:sdtPr>
            <w:alias w:val="2 p."/>
            <w:tag w:val="part_6efb186321944e6bb78ee8cb7fb5dbae"/>
            <w:lock w:val="sdtLocked"/>
            <w:richText/>
          </w:sdtPr>
          <w:sdtContent>
            <w:p w14:paraId="7E2F2D7E" w14:textId="1BE79466">
              <w:pPr>
                <w:tabs>
                  <w:tab w:val="left" w:pos="0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efb186321944e6bb78ee8cb7fb5db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pacing w:val="60"/>
                  <w:szCs w:val="24"/>
                  <w:lang w:eastAsia="ar-SA"/>
                </w:rPr>
                <w:t>Nurodau</w:t>
              </w:r>
              <w:r>
                <w:rPr>
                  <w:szCs w:val="24"/>
                  <w:lang w:eastAsia="ar-SA"/>
                </w:rPr>
                <w:t xml:space="preserve"> šį įsakymą skelbti Neringos savivaldybės interneto svetainėje.</w:t>
              </w:r>
            </w:p>
          </w:sdtContent>
        </w:sdt>
        <w:sdt>
          <w:sdtPr>
            <w:alias w:val="3 p."/>
            <w:tag w:val="part_423353084b264071b75f440d0b01feec"/>
            <w:lock w:val="sdtLocked"/>
            <w:richText/>
          </w:sdtPr>
          <w:sdtContent>
            <w:p w14:paraId="57C22F1F" w14:textId="0CBAE298">
              <w:pPr>
                <w:tabs>
                  <w:tab w:val="left" w:pos="0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23353084b264071b75f440d0b01fee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pacing w:val="60"/>
                  <w:szCs w:val="24"/>
                  <w:lang w:eastAsia="ar-SA"/>
                </w:rPr>
                <w:t>Panaikinu</w:t>
              </w:r>
              <w:r>
                <w:rPr>
                  <w:szCs w:val="24"/>
                  <w:lang w:eastAsia="ar-SA"/>
                </w:rPr>
                <w:t xml:space="preserve"> Neringos savivaldybės administracijos 2015 m. liepos 16 d. įsakymą Nr. V13-377 „Dėl pareigybių sąrašo sudarymo“, Neringos savivaldybės administracijos direktoriaus 2011 m. rugsėjo 16 d. įsakymą Nr. V13-430 „Dėl pareigybių sąrašo pateikimo, kurių siekiantis arba einantis pareigas asmuo savivaldybės įstaigoje turi būti tikrinamas“. </w:t>
              </w:r>
            </w:p>
            <w:p w14:paraId="38DC2823" w14:textId="77777777">
              <w:pPr>
                <w:tabs>
                  <w:tab w:val="left" w:pos="0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70FCA4F9" w14:textId="77777777">
              <w:pPr>
                <w:tabs>
                  <w:tab w:val="left" w:pos="0"/>
                </w:tabs>
                <w:suppressAutoHyphens/>
                <w:jc w:val="both"/>
                <w:rPr>
                  <w:lang w:eastAsia="ar-SA"/>
                </w:rPr>
              </w:pPr>
            </w:p>
            <w:p w14:paraId="2751D1A1" w14:textId="77777777">
              <w:pPr>
                <w:tabs>
                  <w:tab w:val="left" w:pos="900"/>
                </w:tabs>
                <w:suppressAutoHyphens/>
                <w:jc w:val="both"/>
                <w:rPr>
                  <w:lang w:eastAsia="ar-SA"/>
                </w:rPr>
              </w:pPr>
            </w:p>
          </w:sdtContent>
        </w:sdt>
        <w:sdt>
          <w:sdtPr>
            <w:alias w:val="signatura"/>
            <w:tag w:val="part_ed49fd8ac191425f9bf3ca1120359c9f"/>
            <w:lock w:val="sdtLocked"/>
            <w:richText/>
          </w:sdtPr>
          <w:sdtContent>
            <w:p w14:paraId="08E3D9FE" w14:textId="276B79F3">
              <w:pPr>
                <w:tabs>
                  <w:tab w:val="left" w:pos="900"/>
                </w:tabs>
                <w:suppressAutoHyphens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Administracijos direktoriaus pavaduotojas,</w:t>
              </w:r>
            </w:p>
            <w:p w14:paraId="613217B2" w14:textId="4A90920C">
              <w:pPr>
                <w:tabs>
                  <w:tab w:val="left" w:pos="900"/>
                </w:tabs>
                <w:suppressAutoHyphens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atliekantis administracijos direktoriaus pareigas</w:t>
                <w:tab/>
                <w:tab/>
                <w:tab/>
                <w:t>Sigitas Šveikauskas</w:t>
              </w:r>
            </w:p>
            <w:p w14:paraId="282EAA36" w14:textId="77777777">
              <w:pPr>
                <w:tabs>
                  <w:tab w:val="left" w:pos="900"/>
                </w:tabs>
                <w:suppressAutoHyphens/>
                <w:jc w:val="both"/>
                <w:rPr>
                  <w:lang w:eastAsia="ar-SA"/>
                </w:rPr>
              </w:pPr>
            </w:p>
            <w:p w14:paraId="2144914B" w14:textId="77777777">
              <w:pPr>
                <w:suppressAutoHyphens/>
                <w:rPr>
                  <w:lang w:eastAsia="ar-SA"/>
                </w:rPr>
              </w:pPr>
            </w:p>
            <w:p w14:paraId="5E869C26" w14:textId="77777777">
              <w:pPr>
                <w:suppressAutoHyphens/>
                <w:rPr>
                  <w:lang w:eastAsia="ar-SA"/>
                </w:rPr>
              </w:pPr>
            </w:p>
            <w:p w14:paraId="6D213698" w14:textId="77777777">
              <w:pPr>
                <w:suppressAutoHyphens/>
                <w:rPr>
                  <w:lang w:eastAsia="ar-SA"/>
                </w:rPr>
              </w:pPr>
            </w:p>
            <w:p w14:paraId="2E38486D" w14:textId="77777777">
              <w:pPr>
                <w:suppressAutoHyphens/>
                <w:rPr>
                  <w:lang w:eastAsia="ar-SA"/>
                </w:rPr>
              </w:pPr>
            </w:p>
            <w:p w14:paraId="782A583C" w14:textId="77777777">
              <w:pPr>
                <w:suppressAutoHyphens/>
                <w:rPr>
                  <w:lang w:eastAsia="ar-SA"/>
                </w:rPr>
              </w:pPr>
            </w:p>
            <w:p w14:paraId="0B87FC12" w14:textId="77777777">
              <w:pPr>
                <w:suppressAutoHyphens/>
                <w:rPr>
                  <w:lang w:eastAsia="ar-SA"/>
                </w:rPr>
              </w:pPr>
            </w:p>
            <w:p w14:paraId="5BCAB235" w14:textId="77777777">
              <w:pPr>
                <w:suppressAutoHyphens/>
                <w:rPr>
                  <w:lang w:eastAsia="ar-SA"/>
                </w:rPr>
              </w:pPr>
            </w:p>
            <w:p w14:paraId="0A237B2A" w14:textId="77777777">
              <w:pPr>
                <w:suppressAutoHyphens/>
                <w:rPr>
                  <w:lang w:eastAsia="ar-SA"/>
                </w:rPr>
              </w:pPr>
            </w:p>
            <w:p w14:paraId="0E38C0EB" w14:textId="77777777">
              <w:pPr>
                <w:suppressAutoHyphens/>
                <w:rPr>
                  <w:lang w:eastAsia="ar-SA"/>
                </w:rPr>
              </w:pPr>
            </w:p>
            <w:p w14:paraId="324DB5DD" w14:textId="77777777">
              <w:pPr>
                <w:suppressAutoHyphens/>
                <w:rPr>
                  <w:lang w:eastAsia="ar-SA"/>
                </w:rPr>
              </w:pPr>
            </w:p>
            <w:p w14:paraId="6A46A57E" w14:textId="77777777">
              <w:pPr>
                <w:suppressAutoHyphens/>
                <w:rPr>
                  <w:lang w:eastAsia="ar-SA"/>
                </w:rPr>
              </w:pPr>
            </w:p>
            <w:p w14:paraId="3347B42E" w14:textId="77777777">
              <w:pPr>
                <w:suppressAutoHyphens/>
                <w:rPr>
                  <w:lang w:eastAsia="ar-SA"/>
                </w:rPr>
              </w:pPr>
            </w:p>
            <w:p w14:paraId="60D827A5" w14:textId="77777777">
              <w:pPr>
                <w:suppressAutoHyphens/>
                <w:rPr>
                  <w:lang w:eastAsia="ar-SA"/>
                </w:rPr>
              </w:pPr>
            </w:p>
            <w:p w14:paraId="5F75C419" w14:textId="77777777">
              <w:pPr>
                <w:suppressAutoHyphens/>
                <w:rPr>
                  <w:lang w:eastAsia="ar-SA"/>
                </w:rPr>
              </w:pPr>
            </w:p>
            <w:p w14:paraId="43F0E725" w14:textId="77777777">
              <w:pPr>
                <w:suppressAutoHyphens/>
                <w:rPr>
                  <w:lang w:eastAsia="ar-SA"/>
                </w:rPr>
              </w:pPr>
            </w:p>
            <w:p w14:paraId="0BE05E25" w14:textId="77777777">
              <w:pPr>
                <w:suppressAutoHyphens/>
                <w:rPr>
                  <w:lang w:eastAsia="ar-SA"/>
                </w:rPr>
              </w:pPr>
            </w:p>
            <w:p w14:paraId="398873E7" w14:textId="77777777">
              <w:pPr>
                <w:suppressAutoHyphens/>
                <w:rPr>
                  <w:lang w:eastAsia="ar-SA"/>
                </w:rPr>
              </w:pPr>
            </w:p>
            <w:p w14:paraId="42D3432E" w14:textId="77777777">
              <w:pPr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Virginija Stanulevičienė</w:t>
              </w:r>
            </w:p>
            <w:p w14:paraId="49FE74BE" w14:textId="703582C3">
              <w:pPr>
                <w:suppressAutoHyphens/>
                <w:rPr>
                  <w:lang w:eastAsia="ar-SA"/>
                </w:rPr>
              </w:pPr>
              <w:r>
                <w:rPr>
                  <w:lang w:eastAsia="ar-SA"/>
                </w:rPr>
                <w:t>2022-01-10</w:t>
              </w:r>
            </w:p>
          </w:sdtContent>
        </w:sdt>
      </w:sdtContent>
    </w:sdt>
    <w:sectPr>
      <w:headerReference w:type="even" r:id="rId6"/>
      <w:headerReference w:type="default" r:id="rId7"/>
      <w:footnotePr>
        <w:pos w:val="beneathText"/>
      </w:footnotePr>
      <w:pgSz w:w="11905" w:h="16837" w:code="9"/>
      <w:pgMar w:top="709" w:right="567" w:bottom="567" w:left="1531" w:header="1134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E7795" w14:textId="77777777">
      <w:pPr>
        <w:suppressAutoHyphens/>
        <w:rPr>
          <w:lang w:val="en-US" w:eastAsia="ar-SA"/>
        </w:rPr>
      </w:pPr>
      <w:r>
        <w:rPr>
          <w:lang w:val="en-US" w:eastAsia="ar-SA"/>
        </w:rPr>
        <w:separator/>
      </w:r>
    </w:p>
  </w:endnote>
  <w:endnote w:type="continuationSeparator" w:id="0">
    <w:p w14:paraId="38D3F9BC" w14:textId="77777777">
      <w:pPr>
        <w:suppressAutoHyphens/>
        <w:rPr>
          <w:lang w:val="en-US" w:eastAsia="ar-SA"/>
        </w:rPr>
      </w:pPr>
      <w:r>
        <w:rPr>
          <w:lang w:val="en-US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BA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1B8240" w14:textId="77777777">
      <w:pPr>
        <w:suppressAutoHyphens/>
        <w:rPr>
          <w:lang w:val="en-US" w:eastAsia="ar-SA"/>
        </w:rPr>
      </w:pPr>
      <w:r>
        <w:rPr>
          <w:lang w:val="en-US" w:eastAsia="ar-SA"/>
        </w:rPr>
        <w:separator/>
      </w:r>
    </w:p>
  </w:footnote>
  <w:footnote w:type="continuationSeparator" w:id="0">
    <w:p w14:paraId="6CF0184F" w14:textId="77777777">
      <w:pPr>
        <w:suppressAutoHyphens/>
        <w:rPr>
          <w:lang w:val="en-US" w:eastAsia="ar-SA"/>
        </w:rPr>
      </w:pPr>
      <w:r>
        <w:rPr>
          <w:lang w:val="en-US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B3A91B" w14:textId="77777777">
    <w:pPr>
      <w:tabs>
        <w:tab w:val="center" w:pos="4153"/>
        <w:tab w:val="right" w:pos="8306"/>
      </w:tabs>
      <w:suppressAutoHyphens/>
      <w:rPr>
        <w:lang w:eastAsia="ar-SA"/>
      </w:rPr>
    </w:pPr>
    <w:r>
      <w:rPr>
        <w:lang w:eastAsia="ar-SA"/>
      </w:rPr>
      <w:tab/>
      <w:t>2</w: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D7F7E" w14:textId="77777777">
    <w:pPr>
      <w:keepLines/>
      <w:tabs>
        <w:tab w:val="left" w:pos="4860"/>
        <w:tab w:val="left" w:pos="6647"/>
      </w:tabs>
      <w:suppressAutoHyphens/>
      <w:spacing w:after="80" w:line="240" w:lineRule="atLeast"/>
      <w:jc w:val="center"/>
      <w:rPr>
        <w:rFonts w:ascii="Garamond" w:hAnsi="Garamond"/>
        <w:caps/>
        <w:spacing w:val="75"/>
        <w:sz w:val="21"/>
        <w:lang w:val="en-US" w:eastAsia="ar-SA"/>
      </w:rPr>
    </w:pPr>
    <w:r>
      <w:rPr>
        <w:rFonts w:ascii="Garamond" w:hAnsi="Garamond"/>
        <w:caps/>
        <w:spacing w:val="75"/>
        <w:sz w:val="21"/>
        <w:lang w:val="en-US"/>
      </w:rPr>
      <w:drawing>
        <wp:inline distT="0" distB="0" distL="0" distR="0" wp14:anchorId="2128433D" wp14:editId="20A84FC2">
          <wp:extent cx="533400" cy="638175"/>
          <wp:effectExtent l="0" t="0" r="0" b="0"/>
          <wp:docPr id="1" name="Paveikslėlis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63817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>
                    <a:noFill/>
                  </a:ln>
                </pic:spPr>
              </pic:pic>
            </a:graphicData>
          </a:graphic>
        </wp:inline>
      </w:drawing>
    </w:r>
  </w:p>
  <w:p w14:paraId="7400D073" w14:textId="77777777">
    <w:pPr>
      <w:suppressAutoHyphens/>
      <w:jc w:val="center"/>
      <w:rPr>
        <w:b/>
        <w:bCs/>
        <w:sz w:val="28"/>
        <w:szCs w:val="28"/>
        <w:lang w:val="en-US" w:eastAsia="ar-SA"/>
      </w:rPr>
    </w:pPr>
    <w:r>
      <w:rPr>
        <w:b/>
        <w:bCs/>
        <w:sz w:val="28"/>
        <w:szCs w:val="28"/>
        <w:lang w:val="en-US" w:eastAsia="ar-SA"/>
      </w:rPr>
      <w:t xml:space="preserve">NERINGOS SAVIVALDYBĖS ADMINISTRACIJOS </w:t>
    </w:r>
  </w:p>
  <w:p w14:paraId="5E49B726" w14:textId="77777777">
    <w:pPr>
      <w:suppressAutoHyphens/>
      <w:jc w:val="center"/>
      <w:rPr>
        <w:b/>
        <w:bCs/>
        <w:sz w:val="28"/>
        <w:szCs w:val="28"/>
        <w:lang w:val="en-US" w:eastAsia="ar-SA"/>
      </w:rPr>
    </w:pPr>
    <w:r>
      <w:rPr>
        <w:b/>
        <w:bCs/>
        <w:sz w:val="28"/>
        <w:szCs w:val="28"/>
        <w:lang w:val="en-US" w:eastAsia="ar-SA"/>
      </w:rPr>
      <w:t>DIREKTORIUS</w:t>
    </w:r>
  </w:p>
  <w:p w14:paraId="4D0411E2" w14:textId="77777777">
    <w:pPr>
      <w:suppressAutoHyphens/>
      <w:spacing w:line="160" w:lineRule="atLeast"/>
      <w:jc w:val="both"/>
      <w:rPr>
        <w:rFonts w:ascii="Arial" w:hAnsi="Arial"/>
        <w:b/>
        <w:szCs w:val="24"/>
        <w:lang w:val="en-US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evenAndOddHeaders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7F5588"/>
  <w15:chartTrackingRefBased/>
  <w15:docId w15:val="{9BDDFBD0-65A9-4150-9532-0C54BB6649E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_rels/header2.xml.rels><?xml version="1.0" encoding="UTF-8"?>

<Relationships xmlns="http://schemas.openxmlformats.org/package/2006/relationships">
  <Relationship Id="rId1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753af74c65745918b921c352aadbff4" PartId="7d0cdce8ab444578b3647a4e5f9a0897">
    <Part Type="punktas" Nr="1" Abbr="1 p." DocPartId="d160aab4047c4ed6a0e626b355157508" PartId="20b6ed85a86d4ef79ecdaec7edad2eaf">
      <Part Type="papunktis" Nr="1.1" Abbr="1.1 pp." DocPartId="12034b3eb98a4ceda1b11184815703b5" PartId="8e016614c8144b4db4838100a45679b9"/>
      <Part Type="papunktis" Nr="1.2" Abbr="1.2 pp." DocPartId="3155c3087a47464ebdca1a1987ff6eb6" PartId="87999b4baa584d95853cacba3a6ca0c7"/>
      <Part Type="papunktis" Nr="1.3" Abbr="1.3 pp." DocPartId="64d6f876217449ee8bfdcfbf6281e60a" PartId="ac2b167a238541838bec74488b827ff5"/>
    </Part>
    <Part Type="punktas" Nr="2" Abbr="2 p." DocPartId="fe17278c34f34b699db9fa76cfcd2fe4" PartId="6efb186321944e6bb78ee8cb7fb5dbae"/>
    <Part Type="punktas" Nr="3" Abbr="3 p." DocPartId="a799838aed1040ae95690d26f0e3727b" PartId="423353084b264071b75f440d0b01feec"/>
    <Part Type="signatura" DocPartId="ea54493d647146218d604da220c91a7b" PartId="ed49fd8ac191425f9bf3ca1120359c9f"/>
  </Part>
</Parts>
</file>

<file path=customXml/itemProps1.xml><?xml version="1.0" encoding="utf-8"?>
<ds:datastoreItem xmlns:ds="http://schemas.openxmlformats.org/officeDocument/2006/customXml" ds:itemID="{D091549A-9534-4039-957C-CF9B9E173C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1232</Characters>
  <Application>Microsoft Office Word</Application>
  <DocSecurity>4</DocSecurity>
  <Lines>47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ĮSAKYMAS</vt:lpstr>
      <vt:lpstr>ĮSAKYMAS</vt:lpstr>
    </vt:vector>
  </TitlesOfParts>
  <Company/>
  <LinksUpToDate>false</LinksUpToDate>
  <CharactersWithSpaces>1384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2022-01-12T15:23:00Z</dcterms:created>
  <dc:creator>Virginija Kriscenovskyte</dc:creator>
  <lastModifiedBy>adlibuser</lastModifiedBy>
  <lastPrinted>2022-01-12T15:17:00Z</lastPrinted>
  <dcterms:modified xsi:type="dcterms:W3CDTF">2022-01-12T15:23:00Z</dcterms:modified>
  <revision>2</revision>
  <dc:title>ĮSAKYMAS</dc:title>
</coreProperties>
</file>