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85481789e81c470ea7bd3b603d8cb875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0BCD80BF" wp14:editId="65D0E55E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SEIMO VALDYBA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SPRENDIMAS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LIETUVOS RESPUBLIKOS KONSTITUCINIO TEISMO 2017 M. GEGUŽĖS 19 D. NUTARIMO NR. KT5-N4/2017 „DĖL LIETUVOS RESPUBLIKOS FIZINIŲ ASMENŲ BANKROTO ĮSTATYMO NUOSTATŲ ATITIKTIES LIETUVOS RESPUBLIKOS KONSTITUCIJAI“ ĮGYVENDINIMO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5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1690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8706911245d5460b9cb5c14c73c472d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Lietuvos Respublikos Seimo valdyba, vadovaudamasi Lietuvos Respublikos Seimo statuto 181</w:t>
              </w:r>
              <w:r>
                <w:rPr>
                  <w:szCs w:val="24"/>
                  <w:vertAlign w:val="superscript"/>
                </w:rPr>
                <w:t>2</w:t>
              </w:r>
              <w:r>
                <w:rPr>
                  <w:szCs w:val="24"/>
                </w:rPr>
                <w:t xml:space="preserve"> straipsnio 2 dalimi, </w:t>
              </w:r>
              <w:r>
                <w:rPr>
                  <w:bCs/>
                  <w:szCs w:val="24"/>
                  <w:shd w:val="clear" w:color="auto" w:fill="FFFFFF"/>
                </w:rPr>
                <w:t xml:space="preserve">Lietuvos Respublikos Konstitucinio Teismo įstatymo </w:t>
              </w:r>
              <w:r>
                <w:rPr>
                  <w:bCs/>
                  <w:szCs w:val="24"/>
                </w:rPr>
                <w:t>72 straipsnio 5 dalimi</w:t>
              </w:r>
              <w:r>
                <w:rPr>
                  <w:szCs w:val="24"/>
                </w:rPr>
                <w:t xml:space="preserve"> ir atsižvelgdama į Seimo Teisės ir teisėtvarkos komiteto teikimą,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 xml:space="preserve">a: </w:t>
              </w:r>
            </w:p>
          </w:sdtContent>
        </w:sdt>
        <w:sdt>
          <w:sdtPr>
            <w:alias w:val="pastraipa"/>
            <w:tag w:val="part_b47c8f153658481ba2cdbe8d76f3567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Pasiūlyti Lietuvos Respublikos Vyriausybei parengti Lietuvos Respublikos Konstitucinio Teismo 2017 m. gegužės 19 d. nutarimui Nr. KT5-N4/2017 „Dėl Lietuvos Respublikos fizinių asmenų bankroto įstatymo nuostatų atitikties Lietuvos Respublikos Konstitucijai“ įgyvendinti reikalingo teisės akto projektą (inicijuoti Lietuvos Respublikos fizinių asmenų bankroto įstatymo Nr. XI-2000 29 straipsnio 7 dalies pakeitimo įstatymo projektą), įvertinus Lietuvos Respublikos Seimo kanceliarijos Teisės departamento pasiūlymus dėl šio Konstitucinio Teismo nutarimo įgyvendinimo.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</w:sdtContent>
        </w:sdt>
        <w:sdt>
          <w:sdtPr>
            <w:alias w:val="signatura"/>
            <w:tag w:val="part_d5b46cf1f258429f94d7c40ff6b0f41b"/>
            <w:lock w:val="sdtLocked"/>
            <w:richText/>
          </w:sdtPr>
          <w:sdtContent>
            <w:p>
              <w:pPr>
                <w:tabs>
                  <w:tab w:val="right" w:pos="9356"/>
                </w:tabs>
                <w:rPr>
                  <w:lang w:val="en-US"/>
                </w:rPr>
              </w:pPr>
              <w:r>
                <w:rPr>
                  <w:lang w:val="en-US"/>
                </w:rPr>
                <w:t>Seimo Pirmininkas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Viktoras Pranckietis</w:t>
              </w:r>
            </w:p>
            <w:p>
              <w:pPr>
                <w:tabs>
                  <w:tab w:val="right" w:pos="9356"/>
                </w:tabs>
              </w:pP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1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370c54cb509400fb5044bd7fb545728" PartId="85481789e81c470ea7bd3b603d8cb875">
    <Part Type="preambule" DocPartId="fd9999cdec9d4b4ea25d22a669dea73c" PartId="8706911245d5460b9cb5c14c73c472db"/>
    <Part Type="pastraipa" DocPartId="f8f25b7c64404ef29bb84f06eeb0b839" PartId="b47c8f153658481ba2cdbe8d76f3567c"/>
    <Part Type="signatura" DocPartId="80b33d42a99e4b46bb0382cdbf0d84da" PartId="d5b46cf1f258429f94d7c40ff6b0f41b"/>
  </Part>
</Parts>
</file>

<file path=customXml/itemProps1.xml><?xml version="1.0" encoding="utf-8"?>
<ds:datastoreItem xmlns:ds="http://schemas.openxmlformats.org/officeDocument/2006/customXml" ds:itemID="{B69C4304-EA7D-44C3-989D-BDE3613ACC0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140</Words>
  <Characters>1057</Characters>
  <Application>Microsoft Office Word</Application>
  <DocSecurity>4</DocSecurity>
  <Lines>32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1188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2020-11-05T13:37:00Z</dcterms:created>
  <dc:creator>MOZERIENĖ Dainora</dc:creator>
  <lastModifiedBy>adlibuser</lastModifiedBy>
  <lastPrinted>2004-12-10T05:45:00Z</lastPrinted>
  <dcterms:modified xsi:type="dcterms:W3CDTF">2020-11-05T13:37:00Z</dcterms:modified>
  <revision>2</revision>
</coreProperties>
</file>