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BFD87" w14:textId="77777777" w:rsidR="00A9573D" w:rsidRDefault="00A9573D">
      <w:pPr>
        <w:tabs>
          <w:tab w:val="center" w:pos="4153"/>
          <w:tab w:val="right" w:pos="8306"/>
        </w:tabs>
        <w:rPr>
          <w:rFonts w:ascii="TimesLT" w:hAnsi="TimesLT"/>
          <w:lang w:val="en-US"/>
        </w:rPr>
      </w:pPr>
    </w:p>
    <w:p w14:paraId="512BFD88" w14:textId="77777777" w:rsidR="00A9573D" w:rsidRDefault="00DF2C0F">
      <w:pPr>
        <w:jc w:val="center"/>
        <w:rPr>
          <w:caps/>
          <w:sz w:val="22"/>
        </w:rPr>
      </w:pPr>
      <w:r>
        <w:rPr>
          <w:caps/>
          <w:noProof/>
          <w:lang w:eastAsia="lt-LT"/>
        </w:rPr>
        <w:drawing>
          <wp:inline distT="0" distB="0" distL="0" distR="0" wp14:anchorId="512BFDAC" wp14:editId="512BFDA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12BFD89" w14:textId="77777777" w:rsidR="00A9573D" w:rsidRDefault="00A9573D">
      <w:pPr>
        <w:jc w:val="center"/>
        <w:rPr>
          <w:caps/>
          <w:sz w:val="12"/>
          <w:szCs w:val="12"/>
        </w:rPr>
      </w:pPr>
    </w:p>
    <w:p w14:paraId="512BFD8A" w14:textId="77777777" w:rsidR="00A9573D" w:rsidRDefault="00DF2C0F">
      <w:pPr>
        <w:jc w:val="center"/>
        <w:rPr>
          <w:b/>
          <w:bCs/>
          <w:caps/>
        </w:rPr>
      </w:pPr>
      <w:r>
        <w:rPr>
          <w:b/>
          <w:bCs/>
          <w:caps/>
        </w:rPr>
        <w:t>LIETUVOS RESPUBLIKOS</w:t>
      </w:r>
    </w:p>
    <w:p w14:paraId="512BFD8B" w14:textId="77777777" w:rsidR="00A9573D" w:rsidRDefault="00DF2C0F">
      <w:pPr>
        <w:jc w:val="center"/>
        <w:rPr>
          <w:b/>
          <w:caps/>
        </w:rPr>
      </w:pPr>
      <w:r>
        <w:rPr>
          <w:b/>
          <w:caps/>
        </w:rPr>
        <w:t>DARBUOTOJŲ SAUGOS IR SVEIKATOS ĮSTATYMO NR. IX-1672 43, 44 IR 45 STRAIPSNIŲ PAKEITIMO</w:t>
      </w:r>
    </w:p>
    <w:p w14:paraId="512BFD8C" w14:textId="77777777" w:rsidR="00A9573D" w:rsidRDefault="00DF2C0F">
      <w:pPr>
        <w:jc w:val="center"/>
        <w:rPr>
          <w:caps/>
        </w:rPr>
      </w:pPr>
      <w:r>
        <w:rPr>
          <w:b/>
          <w:caps/>
        </w:rPr>
        <w:t>ĮSTATYMAS</w:t>
      </w:r>
    </w:p>
    <w:p w14:paraId="512BFD8D" w14:textId="77777777" w:rsidR="00A9573D" w:rsidRDefault="00A9573D">
      <w:pPr>
        <w:jc w:val="center"/>
        <w:rPr>
          <w:b/>
          <w:caps/>
        </w:rPr>
      </w:pPr>
    </w:p>
    <w:p w14:paraId="512BFD8E" w14:textId="77777777" w:rsidR="00A9573D" w:rsidRDefault="00DF2C0F">
      <w:pPr>
        <w:jc w:val="center"/>
        <w:rPr>
          <w:sz w:val="22"/>
        </w:rPr>
      </w:pPr>
      <w:r>
        <w:rPr>
          <w:sz w:val="22"/>
        </w:rPr>
        <w:t>2015 m. gegužės 14 d. Nr. XII-1709</w:t>
      </w:r>
    </w:p>
    <w:p w14:paraId="512BFD8F" w14:textId="77777777" w:rsidR="00A9573D" w:rsidRDefault="00DF2C0F">
      <w:pPr>
        <w:jc w:val="center"/>
        <w:rPr>
          <w:sz w:val="22"/>
        </w:rPr>
      </w:pPr>
      <w:r>
        <w:rPr>
          <w:sz w:val="22"/>
        </w:rPr>
        <w:t>Vilnius</w:t>
      </w:r>
    </w:p>
    <w:p w14:paraId="512BFD90" w14:textId="77777777" w:rsidR="00A9573D" w:rsidRDefault="00A9573D">
      <w:pPr>
        <w:jc w:val="center"/>
        <w:rPr>
          <w:sz w:val="22"/>
        </w:rPr>
      </w:pPr>
    </w:p>
    <w:p w14:paraId="512BFD93" w14:textId="77777777" w:rsidR="00A9573D" w:rsidRDefault="00A9573D">
      <w:pPr>
        <w:tabs>
          <w:tab w:val="center" w:pos="4153"/>
          <w:tab w:val="right" w:pos="8306"/>
        </w:tabs>
        <w:rPr>
          <w:rFonts w:ascii="TimesLT" w:hAnsi="TimesLT"/>
          <w:lang w:val="en-US"/>
        </w:rPr>
      </w:pPr>
      <w:bookmarkStart w:id="0" w:name="_GoBack"/>
      <w:bookmarkEnd w:id="0"/>
    </w:p>
    <w:p w14:paraId="512BFD94" w14:textId="77777777" w:rsidR="00A9573D" w:rsidRDefault="00DF2C0F">
      <w:pPr>
        <w:tabs>
          <w:tab w:val="left" w:pos="720"/>
        </w:tabs>
        <w:spacing w:line="360" w:lineRule="auto"/>
        <w:ind w:firstLine="720"/>
        <w:jc w:val="both"/>
        <w:rPr>
          <w:b/>
          <w:bCs/>
          <w:color w:val="000000"/>
          <w:szCs w:val="24"/>
        </w:rPr>
      </w:pPr>
      <w:r>
        <w:rPr>
          <w:b/>
          <w:bCs/>
          <w:color w:val="000000"/>
          <w:szCs w:val="24"/>
        </w:rPr>
        <w:t>1</w:t>
      </w:r>
      <w:r>
        <w:rPr>
          <w:b/>
          <w:bCs/>
          <w:color w:val="000000"/>
          <w:szCs w:val="24"/>
        </w:rPr>
        <w:t xml:space="preserve"> straipsnis. </w:t>
      </w:r>
      <w:r>
        <w:rPr>
          <w:b/>
          <w:bCs/>
          <w:color w:val="000000"/>
          <w:szCs w:val="24"/>
        </w:rPr>
        <w:t>43 straipsnio pakeitimas</w:t>
      </w:r>
    </w:p>
    <w:p w14:paraId="512BFD95" w14:textId="77777777" w:rsidR="00A9573D" w:rsidRDefault="00DF2C0F">
      <w:pPr>
        <w:spacing w:line="360" w:lineRule="auto"/>
        <w:ind w:firstLine="720"/>
        <w:jc w:val="both"/>
        <w:rPr>
          <w:szCs w:val="24"/>
          <w:lang w:eastAsia="lt-LT"/>
        </w:rPr>
      </w:pPr>
      <w:r>
        <w:rPr>
          <w:szCs w:val="24"/>
        </w:rPr>
        <w:t>1</w:t>
      </w:r>
      <w:r>
        <w:rPr>
          <w:szCs w:val="24"/>
        </w:rPr>
        <w:t xml:space="preserve">. Pakeisti </w:t>
      </w:r>
      <w:r>
        <w:rPr>
          <w:szCs w:val="24"/>
          <w:lang w:eastAsia="lt-LT"/>
        </w:rPr>
        <w:t>43 straipsnio 2 dalį</w:t>
      </w:r>
      <w:r>
        <w:rPr>
          <w:szCs w:val="24"/>
        </w:rPr>
        <w:t xml:space="preserve"> </w:t>
      </w:r>
      <w:r>
        <w:rPr>
          <w:szCs w:val="24"/>
          <w:lang w:eastAsia="lt-LT"/>
        </w:rPr>
        <w:t>ir ją išdėstyti taip:</w:t>
      </w:r>
    </w:p>
    <w:p w14:paraId="512BFD96" w14:textId="77777777" w:rsidR="00A9573D" w:rsidRDefault="00DF2C0F">
      <w:pPr>
        <w:spacing w:line="360" w:lineRule="auto"/>
        <w:ind w:firstLine="720"/>
        <w:jc w:val="both"/>
        <w:rPr>
          <w:szCs w:val="24"/>
        </w:rPr>
      </w:pPr>
      <w:r>
        <w:rPr>
          <w:szCs w:val="24"/>
        </w:rPr>
        <w:t>„</w:t>
      </w:r>
      <w:r>
        <w:rPr>
          <w:szCs w:val="24"/>
        </w:rPr>
        <w:t>2</w:t>
      </w:r>
      <w:r>
        <w:rPr>
          <w:szCs w:val="24"/>
        </w:rPr>
        <w:t>. Darbdaviui atstovaujantis asmuo ar darbdavio įgaliotas asmuo nedelsdami privalo pranešti atitinkamai teritorinei prokuratūrai ir Valstybinei darbo inspekcijai apie visus įvykius darbe, dėl kurių darbuotojas mirė arba per kuriuos buvo sunkiai pakenkta dar</w:t>
      </w:r>
      <w:r>
        <w:rPr>
          <w:szCs w:val="24"/>
        </w:rPr>
        <w:t xml:space="preserve">buotojo sveikatai. Ūmių profesinių ligų, dėl kurių darbuotojas mirė, atvejais darbdaviui atstovaujantis asmuo ar darbdavio įgaliotas asmuo nedelsdami privalo pranešti ir Nacionaliniam visuomenės sveikatos centrui </w:t>
      </w:r>
      <w:r>
        <w:rPr>
          <w:szCs w:val="24"/>
          <w:lang w:eastAsia="lt-LT"/>
        </w:rPr>
        <w:t>prie Sveikatos apsaugos ministerijos</w:t>
      </w:r>
      <w:r>
        <w:rPr>
          <w:szCs w:val="24"/>
        </w:rPr>
        <w:t>.“</w:t>
      </w:r>
    </w:p>
    <w:p w14:paraId="512BFD97" w14:textId="77777777" w:rsidR="00A9573D" w:rsidRDefault="00DF2C0F">
      <w:pPr>
        <w:spacing w:line="360" w:lineRule="auto"/>
        <w:ind w:firstLine="720"/>
        <w:jc w:val="both"/>
        <w:rPr>
          <w:szCs w:val="24"/>
        </w:rPr>
      </w:pPr>
      <w:r>
        <w:rPr>
          <w:szCs w:val="24"/>
        </w:rPr>
        <w:t>2</w:t>
      </w:r>
      <w:r>
        <w:rPr>
          <w:szCs w:val="24"/>
        </w:rPr>
        <w:t xml:space="preserve">. Pakeisti 43 straipsnio 3 dalį ir ją išdėstyti taip: </w:t>
      </w:r>
    </w:p>
    <w:p w14:paraId="512BFD98" w14:textId="77777777" w:rsidR="00A9573D" w:rsidRDefault="00DF2C0F">
      <w:pPr>
        <w:spacing w:line="360" w:lineRule="auto"/>
        <w:ind w:firstLine="720"/>
        <w:jc w:val="both"/>
        <w:rPr>
          <w:szCs w:val="24"/>
        </w:rPr>
      </w:pPr>
      <w:r>
        <w:rPr>
          <w:szCs w:val="24"/>
        </w:rPr>
        <w:t>„</w:t>
      </w:r>
      <w:r>
        <w:rPr>
          <w:szCs w:val="24"/>
        </w:rPr>
        <w:t>3</w:t>
      </w:r>
      <w:r>
        <w:rPr>
          <w:szCs w:val="24"/>
        </w:rPr>
        <w:t xml:space="preserve">. Lėtinę profesinę ligą įtaręs gydytojas ne vėliau kaip per 3 dienas apie tai raštu praneša darbdaviui, Valstybinei darbo inspekcijai ir Nacionaliniam visuomenės sveikatos centrui </w:t>
      </w:r>
      <w:r>
        <w:rPr>
          <w:szCs w:val="24"/>
          <w:lang w:eastAsia="lt-LT"/>
        </w:rPr>
        <w:t>prie Sveikat</w:t>
      </w:r>
      <w:r>
        <w:rPr>
          <w:szCs w:val="24"/>
          <w:lang w:eastAsia="lt-LT"/>
        </w:rPr>
        <w:t>os apsaugos ministerijos</w:t>
      </w:r>
      <w:r>
        <w:rPr>
          <w:szCs w:val="24"/>
        </w:rPr>
        <w:t>.“</w:t>
      </w:r>
    </w:p>
    <w:p w14:paraId="512BFD99" w14:textId="77777777" w:rsidR="00A9573D" w:rsidRDefault="00DF2C0F">
      <w:pPr>
        <w:spacing w:line="360" w:lineRule="auto"/>
        <w:ind w:firstLine="720"/>
        <w:jc w:val="both"/>
        <w:rPr>
          <w:szCs w:val="24"/>
        </w:rPr>
      </w:pPr>
    </w:p>
    <w:p w14:paraId="512BFD9A" w14:textId="77777777" w:rsidR="00A9573D" w:rsidRDefault="00DF2C0F">
      <w:pPr>
        <w:tabs>
          <w:tab w:val="left" w:pos="720"/>
        </w:tabs>
        <w:spacing w:line="360" w:lineRule="auto"/>
        <w:ind w:firstLine="720"/>
        <w:jc w:val="both"/>
        <w:rPr>
          <w:b/>
          <w:bCs/>
          <w:color w:val="000000"/>
          <w:szCs w:val="24"/>
        </w:rPr>
      </w:pPr>
      <w:r>
        <w:rPr>
          <w:b/>
          <w:bCs/>
          <w:color w:val="000000"/>
          <w:szCs w:val="24"/>
        </w:rPr>
        <w:t>2</w:t>
      </w:r>
      <w:r>
        <w:rPr>
          <w:b/>
          <w:bCs/>
          <w:color w:val="000000"/>
          <w:szCs w:val="24"/>
        </w:rPr>
        <w:t xml:space="preserve"> straipsnis. </w:t>
      </w:r>
      <w:r>
        <w:rPr>
          <w:b/>
          <w:bCs/>
          <w:color w:val="000000"/>
          <w:szCs w:val="24"/>
        </w:rPr>
        <w:t>44 straipsnio pakeitimas</w:t>
      </w:r>
    </w:p>
    <w:p w14:paraId="512BFD9B" w14:textId="77777777" w:rsidR="00A9573D" w:rsidRDefault="00DF2C0F">
      <w:pPr>
        <w:spacing w:line="360" w:lineRule="auto"/>
        <w:ind w:firstLine="720"/>
        <w:jc w:val="both"/>
        <w:rPr>
          <w:szCs w:val="24"/>
          <w:lang w:eastAsia="lt-LT"/>
        </w:rPr>
      </w:pPr>
      <w:r>
        <w:rPr>
          <w:szCs w:val="24"/>
        </w:rPr>
        <w:t xml:space="preserve">Pakeisti </w:t>
      </w:r>
      <w:r>
        <w:rPr>
          <w:szCs w:val="24"/>
          <w:lang w:eastAsia="lt-LT"/>
        </w:rPr>
        <w:t>44 straipsnio 10 dalį ir ją išdėstyti taip:</w:t>
      </w:r>
    </w:p>
    <w:p w14:paraId="512BFD9C" w14:textId="77777777" w:rsidR="00A9573D" w:rsidRDefault="00DF2C0F">
      <w:pPr>
        <w:spacing w:line="360" w:lineRule="auto"/>
        <w:ind w:firstLine="720"/>
        <w:jc w:val="both"/>
        <w:rPr>
          <w:szCs w:val="24"/>
        </w:rPr>
      </w:pPr>
      <w:r>
        <w:rPr>
          <w:szCs w:val="24"/>
        </w:rPr>
        <w:t>„</w:t>
      </w:r>
      <w:r>
        <w:rPr>
          <w:szCs w:val="24"/>
        </w:rPr>
        <w:t>10</w:t>
      </w:r>
      <w:r>
        <w:rPr>
          <w:szCs w:val="24"/>
        </w:rPr>
        <w:t>. Ūmias profesines ligas, dėl kurių mirė 3 ir daugiau darbuotojų, tiria komisija. Šios komisijos pirmininkas yra vyriau</w:t>
      </w:r>
      <w:r>
        <w:rPr>
          <w:szCs w:val="24"/>
        </w:rPr>
        <w:t xml:space="preserve">siasis valstybinis darbo inspektorius, nariai – Nacionalinio visuomenės sveikatos centro </w:t>
      </w:r>
      <w:r>
        <w:rPr>
          <w:szCs w:val="24"/>
          <w:lang w:eastAsia="lt-LT"/>
        </w:rPr>
        <w:t>prie Sveikatos apsaugos ministerijos</w:t>
      </w:r>
      <w:r>
        <w:rPr>
          <w:szCs w:val="24"/>
        </w:rPr>
        <w:t xml:space="preserve"> vadovas (jo pavaduotojas) ar vadovo paskirti atstovai, Valstybinės darbo inspekcijos teritorinio skyriaus vedėjas, Valstybinės dar</w:t>
      </w:r>
      <w:r>
        <w:rPr>
          <w:szCs w:val="24"/>
        </w:rPr>
        <w:t>bo inspekcijos teritorinio skyriaus inspektorius. Atliekant tyrimą dalyvauja darbdavio atstovas ir darbuotojų atstovas (atstovai) saugai ir sveikatai.“</w:t>
      </w:r>
    </w:p>
    <w:p w14:paraId="512BFD9D" w14:textId="77777777" w:rsidR="00A9573D" w:rsidRDefault="00DF2C0F">
      <w:pPr>
        <w:spacing w:line="360" w:lineRule="auto"/>
        <w:ind w:firstLine="720"/>
        <w:jc w:val="both"/>
        <w:rPr>
          <w:szCs w:val="24"/>
        </w:rPr>
      </w:pPr>
    </w:p>
    <w:p w14:paraId="512BFD9E" w14:textId="77777777" w:rsidR="00A9573D" w:rsidRDefault="00DF2C0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color w:val="000000"/>
          <w:szCs w:val="24"/>
        </w:rPr>
      </w:pPr>
      <w:r>
        <w:rPr>
          <w:b/>
          <w:bCs/>
          <w:color w:val="000000"/>
          <w:szCs w:val="24"/>
        </w:rPr>
        <w:t>3</w:t>
      </w:r>
      <w:r>
        <w:rPr>
          <w:b/>
          <w:bCs/>
          <w:color w:val="000000"/>
          <w:szCs w:val="24"/>
        </w:rPr>
        <w:t xml:space="preserve"> straipsnis. </w:t>
      </w:r>
      <w:r>
        <w:rPr>
          <w:b/>
          <w:bCs/>
          <w:color w:val="000000"/>
          <w:szCs w:val="24"/>
        </w:rPr>
        <w:t>45 straipsnio pakeitimas</w:t>
      </w:r>
    </w:p>
    <w:p w14:paraId="512BFD9F" w14:textId="77777777" w:rsidR="00A9573D" w:rsidRDefault="00DF2C0F">
      <w:pPr>
        <w:spacing w:line="360" w:lineRule="auto"/>
        <w:ind w:firstLine="720"/>
        <w:jc w:val="both"/>
        <w:rPr>
          <w:szCs w:val="24"/>
          <w:lang w:eastAsia="lt-LT"/>
        </w:rPr>
      </w:pPr>
      <w:r>
        <w:rPr>
          <w:szCs w:val="24"/>
        </w:rPr>
        <w:t>1</w:t>
      </w:r>
      <w:r>
        <w:rPr>
          <w:szCs w:val="24"/>
        </w:rPr>
        <w:t xml:space="preserve">. Pakeisti </w:t>
      </w:r>
      <w:r>
        <w:rPr>
          <w:szCs w:val="24"/>
          <w:lang w:eastAsia="lt-LT"/>
        </w:rPr>
        <w:t xml:space="preserve">45 straipsnio 2 dalį ir ją išdėstyti </w:t>
      </w:r>
      <w:r>
        <w:rPr>
          <w:szCs w:val="24"/>
          <w:lang w:eastAsia="lt-LT"/>
        </w:rPr>
        <w:t>taip:</w:t>
      </w:r>
    </w:p>
    <w:p w14:paraId="512BFDA0" w14:textId="77777777" w:rsidR="00A9573D" w:rsidRDefault="00DF2C0F">
      <w:pPr>
        <w:spacing w:line="360" w:lineRule="auto"/>
        <w:ind w:firstLine="720"/>
        <w:jc w:val="both"/>
        <w:rPr>
          <w:szCs w:val="24"/>
        </w:rPr>
      </w:pPr>
      <w:r>
        <w:rPr>
          <w:szCs w:val="24"/>
        </w:rPr>
        <w:t>„</w:t>
      </w:r>
      <w:r>
        <w:rPr>
          <w:szCs w:val="24"/>
        </w:rPr>
        <w:t>2</w:t>
      </w:r>
      <w:r>
        <w:rPr>
          <w:szCs w:val="24"/>
        </w:rPr>
        <w:t xml:space="preserve">. Profesinių ligų patvirtinimo aktai įteikiami nukentėjusiam darbuotojui arba jo atstovui, darbdaviui atstovaujančiam asmeniui, Valstybinei darbo inspekcijai, Nacionaliniam </w:t>
      </w:r>
      <w:r>
        <w:rPr>
          <w:szCs w:val="24"/>
        </w:rPr>
        <w:lastRenderedPageBreak/>
        <w:t xml:space="preserve">visuomenės sveikatos centrui </w:t>
      </w:r>
      <w:r>
        <w:rPr>
          <w:szCs w:val="24"/>
          <w:lang w:eastAsia="lt-LT"/>
        </w:rPr>
        <w:t>prie Sveikatos apsaugos ministerijos</w:t>
      </w:r>
      <w:r>
        <w:rPr>
          <w:szCs w:val="24"/>
        </w:rPr>
        <w:t xml:space="preserve"> ir drau</w:t>
      </w:r>
      <w:r>
        <w:rPr>
          <w:szCs w:val="24"/>
        </w:rPr>
        <w:t>dimo įstaigai, kurioje nukentėjusysis apdraustas nuo nelaimingų atsitikimų darbe ir profesinių ligų.“</w:t>
      </w:r>
    </w:p>
    <w:p w14:paraId="512BFDA1" w14:textId="77777777" w:rsidR="00A9573D" w:rsidRDefault="00DF2C0F">
      <w:pPr>
        <w:spacing w:line="360" w:lineRule="auto"/>
        <w:ind w:firstLine="720"/>
        <w:jc w:val="both"/>
        <w:rPr>
          <w:szCs w:val="24"/>
          <w:lang w:eastAsia="lt-LT"/>
        </w:rPr>
      </w:pPr>
      <w:r>
        <w:rPr>
          <w:bCs/>
          <w:color w:val="000000"/>
          <w:szCs w:val="24"/>
        </w:rPr>
        <w:t>2</w:t>
      </w:r>
      <w:r>
        <w:rPr>
          <w:bCs/>
          <w:color w:val="000000"/>
          <w:szCs w:val="24"/>
        </w:rPr>
        <w:t>.</w:t>
      </w:r>
      <w:r>
        <w:rPr>
          <w:b/>
          <w:bCs/>
          <w:color w:val="000000"/>
          <w:szCs w:val="24"/>
        </w:rPr>
        <w:t xml:space="preserve"> </w:t>
      </w:r>
      <w:r>
        <w:rPr>
          <w:bCs/>
          <w:color w:val="000000"/>
          <w:szCs w:val="24"/>
        </w:rPr>
        <w:t>Pakeisti</w:t>
      </w:r>
      <w:r>
        <w:rPr>
          <w:b/>
          <w:bCs/>
          <w:color w:val="000000"/>
          <w:szCs w:val="24"/>
        </w:rPr>
        <w:t xml:space="preserve"> </w:t>
      </w:r>
      <w:r>
        <w:rPr>
          <w:szCs w:val="24"/>
          <w:lang w:eastAsia="lt-LT"/>
        </w:rPr>
        <w:t>45 straipsnio 3 dalį ir ją išdėstyti taip:</w:t>
      </w:r>
    </w:p>
    <w:p w14:paraId="512BFDA2" w14:textId="77777777" w:rsidR="00A9573D" w:rsidRDefault="00DF2C0F">
      <w:pPr>
        <w:spacing w:line="360" w:lineRule="auto"/>
        <w:ind w:firstLine="720"/>
        <w:jc w:val="both"/>
        <w:rPr>
          <w:szCs w:val="24"/>
        </w:rPr>
      </w:pPr>
      <w:r>
        <w:rPr>
          <w:szCs w:val="24"/>
        </w:rPr>
        <w:t>„</w:t>
      </w:r>
      <w:r>
        <w:rPr>
          <w:szCs w:val="24"/>
        </w:rPr>
        <w:t>3</w:t>
      </w:r>
      <w:r>
        <w:rPr>
          <w:szCs w:val="24"/>
        </w:rPr>
        <w:t>. Visų ištirtų nelaimingų atsitikimų darbe aktai, taip pat profesinių ligų patvirtinimo aktai registruojami ir įtraukiami į apskaitą Valstybinėje darbo inspekcijoje vadovaujantis atitinkamai Nelaimingų atsitikimų darbe tyrimo ir apskaitos nuostatais, Profe</w:t>
      </w:r>
      <w:r>
        <w:rPr>
          <w:szCs w:val="24"/>
        </w:rPr>
        <w:t xml:space="preserve">sinių ligų tyrimo ir apskaitos nuostatais. Profesinių ligų tyrimo ir apskaitos nuostatuose ir Profesinių ligų valstybės registro nuostatuose nustatyta tvarka profesinės ligos taip pat registruojamos Nacionaliniame visuomenės sveikatos centre </w:t>
      </w:r>
      <w:r>
        <w:rPr>
          <w:szCs w:val="24"/>
          <w:lang w:eastAsia="lt-LT"/>
        </w:rPr>
        <w:t>prie Sveikatos</w:t>
      </w:r>
      <w:r>
        <w:rPr>
          <w:szCs w:val="24"/>
          <w:lang w:eastAsia="lt-LT"/>
        </w:rPr>
        <w:t xml:space="preserve"> apsaugos ministerijos</w:t>
      </w:r>
      <w:r>
        <w:rPr>
          <w:szCs w:val="24"/>
        </w:rPr>
        <w:t xml:space="preserve"> ir Profesinių ligų valstybės registre. Profesinių ligų valstybės registro nuostatus tvirtina Vyriausybė.“</w:t>
      </w:r>
    </w:p>
    <w:p w14:paraId="512BFDA3" w14:textId="77777777" w:rsidR="00A9573D" w:rsidRDefault="00DF2C0F">
      <w:pPr>
        <w:spacing w:line="360" w:lineRule="auto"/>
        <w:ind w:firstLine="720"/>
        <w:jc w:val="both"/>
        <w:rPr>
          <w:szCs w:val="24"/>
        </w:rPr>
      </w:pPr>
    </w:p>
    <w:p w14:paraId="512BFDA4" w14:textId="77777777" w:rsidR="00A9573D" w:rsidRDefault="00DF2C0F">
      <w:pPr>
        <w:spacing w:line="360" w:lineRule="auto"/>
        <w:ind w:firstLine="720"/>
        <w:jc w:val="both"/>
        <w:rPr>
          <w:szCs w:val="24"/>
          <w:lang w:eastAsia="lt-LT"/>
        </w:rPr>
      </w:pPr>
      <w:r>
        <w:rPr>
          <w:b/>
          <w:bCs/>
          <w:szCs w:val="24"/>
          <w:lang w:eastAsia="lt-LT"/>
        </w:rPr>
        <w:t>4</w:t>
      </w:r>
      <w:r>
        <w:rPr>
          <w:b/>
          <w:bCs/>
          <w:szCs w:val="24"/>
          <w:lang w:eastAsia="lt-LT"/>
        </w:rPr>
        <w:t xml:space="preserve"> straipsnis. </w:t>
      </w:r>
      <w:r>
        <w:rPr>
          <w:b/>
          <w:bCs/>
          <w:szCs w:val="24"/>
          <w:lang w:eastAsia="lt-LT"/>
        </w:rPr>
        <w:t>Įstatymo įsigaliojimas</w:t>
      </w:r>
    </w:p>
    <w:p w14:paraId="512BFDA5" w14:textId="77777777" w:rsidR="00A9573D" w:rsidRDefault="00DF2C0F">
      <w:pPr>
        <w:spacing w:line="360" w:lineRule="auto"/>
        <w:ind w:firstLine="720"/>
        <w:rPr>
          <w:szCs w:val="24"/>
          <w:lang w:eastAsia="lt-LT"/>
        </w:rPr>
      </w:pPr>
      <w:r>
        <w:rPr>
          <w:szCs w:val="24"/>
          <w:lang w:eastAsia="lt-LT"/>
        </w:rPr>
        <w:t>Šis įstatymas įsigalioja 2016 m. balandžio 1 d.</w:t>
      </w:r>
    </w:p>
    <w:p w14:paraId="512BFDA6" w14:textId="77777777" w:rsidR="00A9573D" w:rsidRDefault="00DF2C0F">
      <w:pPr>
        <w:spacing w:line="360" w:lineRule="auto"/>
        <w:ind w:firstLine="720"/>
        <w:jc w:val="both"/>
      </w:pPr>
    </w:p>
    <w:p w14:paraId="512BFDA7" w14:textId="77777777" w:rsidR="00A9573D" w:rsidRDefault="00DF2C0F">
      <w:pPr>
        <w:spacing w:line="360" w:lineRule="auto"/>
        <w:ind w:firstLine="720"/>
        <w:jc w:val="both"/>
        <w:rPr>
          <w:i/>
          <w:szCs w:val="24"/>
        </w:rPr>
      </w:pPr>
      <w:r>
        <w:rPr>
          <w:i/>
          <w:szCs w:val="24"/>
        </w:rPr>
        <w:t>Skelbiu šį Lietuvos Resp</w:t>
      </w:r>
      <w:r>
        <w:rPr>
          <w:i/>
          <w:szCs w:val="24"/>
        </w:rPr>
        <w:t>ublikos Seimo priimtą įstatymą.</w:t>
      </w:r>
    </w:p>
    <w:p w14:paraId="512BFDA8" w14:textId="77777777" w:rsidR="00A9573D" w:rsidRDefault="00A9573D">
      <w:pPr>
        <w:spacing w:line="360" w:lineRule="auto"/>
        <w:rPr>
          <w:i/>
          <w:szCs w:val="24"/>
        </w:rPr>
      </w:pPr>
    </w:p>
    <w:p w14:paraId="512BFDA9" w14:textId="77777777" w:rsidR="00A9573D" w:rsidRDefault="00A9573D">
      <w:pPr>
        <w:spacing w:line="360" w:lineRule="auto"/>
        <w:rPr>
          <w:i/>
          <w:szCs w:val="24"/>
        </w:rPr>
      </w:pPr>
    </w:p>
    <w:p w14:paraId="512BFDAA" w14:textId="77777777" w:rsidR="00A9573D" w:rsidRDefault="00A9573D">
      <w:pPr>
        <w:spacing w:line="360" w:lineRule="auto"/>
      </w:pPr>
    </w:p>
    <w:p w14:paraId="512BFDAB" w14:textId="77777777" w:rsidR="00A9573D" w:rsidRDefault="00DF2C0F">
      <w:pPr>
        <w:tabs>
          <w:tab w:val="right" w:pos="9356"/>
        </w:tabs>
      </w:pPr>
      <w:r>
        <w:t>Respublikos Prezidentė</w:t>
      </w:r>
      <w:r>
        <w:rPr>
          <w:caps/>
        </w:rPr>
        <w:tab/>
      </w:r>
      <w:r>
        <w:t>Dalia Grybauskaitė</w:t>
      </w:r>
    </w:p>
    <w:sectPr w:rsidR="00A9573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BFDB0" w14:textId="77777777" w:rsidR="00A9573D" w:rsidRDefault="00DF2C0F">
      <w:pPr>
        <w:rPr>
          <w:rFonts w:ascii="TimesLT" w:hAnsi="TimesLT"/>
          <w:lang w:val="en-US"/>
        </w:rPr>
      </w:pPr>
      <w:r>
        <w:rPr>
          <w:rFonts w:ascii="TimesLT" w:hAnsi="TimesLT"/>
          <w:lang w:val="en-US"/>
        </w:rPr>
        <w:separator/>
      </w:r>
    </w:p>
  </w:endnote>
  <w:endnote w:type="continuationSeparator" w:id="0">
    <w:p w14:paraId="512BFDB1" w14:textId="77777777" w:rsidR="00A9573D" w:rsidRDefault="00DF2C0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FDB6" w14:textId="77777777" w:rsidR="00A9573D" w:rsidRDefault="00DF2C0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12BFDB7" w14:textId="77777777" w:rsidR="00A9573D" w:rsidRDefault="00A9573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FDB8" w14:textId="77777777" w:rsidR="00A9573D" w:rsidRDefault="00A9573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FDBA" w14:textId="77777777" w:rsidR="00A9573D" w:rsidRDefault="00A9573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FDAE" w14:textId="77777777" w:rsidR="00A9573D" w:rsidRDefault="00DF2C0F">
      <w:pPr>
        <w:rPr>
          <w:rFonts w:ascii="TimesLT" w:hAnsi="TimesLT"/>
          <w:lang w:val="en-US"/>
        </w:rPr>
      </w:pPr>
      <w:r>
        <w:rPr>
          <w:rFonts w:ascii="TimesLT" w:hAnsi="TimesLT"/>
          <w:lang w:val="en-US"/>
        </w:rPr>
        <w:separator/>
      </w:r>
    </w:p>
  </w:footnote>
  <w:footnote w:type="continuationSeparator" w:id="0">
    <w:p w14:paraId="512BFDAF" w14:textId="77777777" w:rsidR="00A9573D" w:rsidRDefault="00DF2C0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FDB2" w14:textId="77777777" w:rsidR="00A9573D" w:rsidRDefault="00DF2C0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12BFDB3" w14:textId="77777777" w:rsidR="00A9573D" w:rsidRDefault="00A9573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FDB4" w14:textId="77777777" w:rsidR="00A9573D" w:rsidRDefault="00DF2C0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512BFDB5" w14:textId="77777777" w:rsidR="00A9573D" w:rsidRDefault="00A9573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FDB9" w14:textId="77777777" w:rsidR="00A9573D" w:rsidRDefault="00A9573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04"/>
    <w:rsid w:val="00A9573D"/>
    <w:rsid w:val="00C12804"/>
    <w:rsid w:val="00DF2C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B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2705</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3074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2015-05-25T13:57:00Z</dcterms:created>
  <dc:creator>MANIUŠKIENĖ Violeta</dc:creator>
  <lastModifiedBy>SKAPAITĖ Dalia</lastModifiedBy>
  <lastPrinted>2015-05-14T10:41:00Z</lastPrinted>
  <dcterms:modified xsi:type="dcterms:W3CDTF">2015-05-25T14:58:00Z</dcterms:modified>
  <revision>3</revision>
</coreProperties>
</file>