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rPr>
          <w:b/>
          <w:bCs/>
          <w:szCs w:val="24"/>
        </w:rPr>
        <w:alias w:val="pagrindine"/>
        <w:tag w:val="part_5cd97c3fec334ca18abb8ded05a44d46"/>
        <w:id w:val="-1085221692"/>
        <w:lock w:val="sdtLocked"/>
        <w:placeholder>
          <w:docPart w:val="DefaultPlaceholder_-1854013440"/>
        </w:placeholder>
      </w:sdtPr>
      <w:sdtEndPr>
        <w:rPr>
          <w:b w:val="0"/>
          <w:bCs w:val="0"/>
          <w:szCs w:val="20"/>
        </w:rPr>
      </w:sdtEndPr>
      <w:sdtContent>
        <w:p w:rsidR="00BD1576" w:rsidRDefault="00F00BA9">
          <w:pPr>
            <w:tabs>
              <w:tab w:val="center" w:pos="4819"/>
              <w:tab w:val="right" w:pos="9071"/>
            </w:tabs>
            <w:overflowPunct w:val="0"/>
            <w:jc w:val="center"/>
            <w:textAlignment w:val="baseline"/>
            <w:rPr>
              <w:b/>
              <w:bCs/>
              <w:szCs w:val="24"/>
            </w:rPr>
          </w:pPr>
          <w:r>
            <w:rPr>
              <w:b/>
              <w:bCs/>
              <w:noProof/>
              <w:szCs w:val="24"/>
              <w:lang w:eastAsia="lt-LT"/>
            </w:rPr>
            <w:drawing>
              <wp:inline distT="0" distB="0" distL="0" distR="0" wp14:anchorId="7D37C096" wp14:editId="5EE44662">
                <wp:extent cx="542925" cy="55245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BD1576" w:rsidRDefault="00BD1576">
          <w:pPr>
            <w:rPr>
              <w:szCs w:val="24"/>
            </w:rPr>
          </w:pPr>
        </w:p>
        <w:p w:rsidR="00BD1576" w:rsidRDefault="00F00BA9">
          <w:pPr>
            <w:jc w:val="center"/>
            <w:rPr>
              <w:szCs w:val="24"/>
            </w:rPr>
          </w:pPr>
          <w:r>
            <w:rPr>
              <w:b/>
              <w:bCs/>
              <w:szCs w:val="24"/>
            </w:rPr>
            <w:t>LIETUVOS RESPUBLIKOS ŠVIETIMO, MOKSLO IR SPORTO MINISTRAS</w:t>
          </w:r>
        </w:p>
        <w:p w:rsidR="00BD1576" w:rsidRDefault="00BD1576">
          <w:pPr>
            <w:rPr>
              <w:szCs w:val="24"/>
            </w:rPr>
          </w:pPr>
        </w:p>
        <w:p w:rsidR="00BD1576" w:rsidRDefault="00F00BA9">
          <w:pPr>
            <w:overflowPunct w:val="0"/>
            <w:jc w:val="center"/>
            <w:textAlignment w:val="baseline"/>
            <w:rPr>
              <w:b/>
              <w:bCs/>
              <w:szCs w:val="24"/>
            </w:rPr>
          </w:pPr>
          <w:r>
            <w:rPr>
              <w:b/>
              <w:bCs/>
              <w:szCs w:val="24"/>
            </w:rPr>
            <w:t>ĮSAKYMAS</w:t>
          </w:r>
        </w:p>
        <w:p w:rsidR="00BD1576" w:rsidRDefault="00F00BA9">
          <w:pPr>
            <w:overflowPunct w:val="0"/>
            <w:jc w:val="center"/>
            <w:textAlignment w:val="baseline"/>
            <w:rPr>
              <w:b/>
              <w:bCs/>
              <w:caps/>
              <w:szCs w:val="24"/>
            </w:rPr>
          </w:pPr>
          <w:r>
            <w:rPr>
              <w:b/>
              <w:bCs/>
              <w:szCs w:val="24"/>
            </w:rPr>
            <w:t>DĖL</w:t>
          </w:r>
          <w:r>
            <w:rPr>
              <w:b/>
              <w:bCs/>
              <w:caps/>
              <w:szCs w:val="24"/>
            </w:rPr>
            <w:t xml:space="preserve"> ŠVIETIMO, MOKSLO IR SPORTO MINISTRO 2022 M. GEGUŽĖS </w:t>
          </w:r>
        </w:p>
        <w:p w:rsidR="00BD1576" w:rsidRDefault="00F00BA9">
          <w:pPr>
            <w:overflowPunct w:val="0"/>
            <w:jc w:val="center"/>
            <w:textAlignment w:val="baseline"/>
            <w:rPr>
              <w:b/>
              <w:bCs/>
              <w:caps/>
              <w:szCs w:val="24"/>
            </w:rPr>
          </w:pPr>
          <w:r>
            <w:rPr>
              <w:b/>
              <w:bCs/>
              <w:caps/>
              <w:szCs w:val="24"/>
            </w:rPr>
            <w:t>31 D. ĮSAKYMO NR. V-878 „DĖL 2021–2030 M. PLĖTROS PROGRAMOS VALDYTOJOS LIETUVOS RESPUBLIKOS ŠVIETIMO, MOKSLO IR SPORTO MINISTERIJOS ŠVIETIMO PLĖTROS PROGRAMOS PAŽANGOS PRIEMONĖS NR. 12-003-03-01-04 „UŽTIKRINTI VISIEMS PRIEINAMĄ ANKSTYVĄJĮ UGDYMĄ“ APRAŠO PATVIRTINIMO“ PAKEITIMO</w:t>
          </w:r>
        </w:p>
        <w:p w:rsidR="00BD1576" w:rsidRDefault="00BD1576">
          <w:pPr>
            <w:rPr>
              <w:szCs w:val="24"/>
            </w:rPr>
          </w:pPr>
        </w:p>
        <w:p w:rsidR="00BD1576" w:rsidRDefault="00F00BA9">
          <w:pPr>
            <w:keepNext/>
            <w:tabs>
              <w:tab w:val="left" w:pos="5035"/>
            </w:tabs>
            <w:overflowPunct w:val="0"/>
            <w:ind w:left="108"/>
            <w:jc w:val="center"/>
            <w:textAlignment w:val="baseline"/>
            <w:outlineLvl w:val="2"/>
            <w:rPr>
              <w:szCs w:val="24"/>
            </w:rPr>
          </w:pPr>
          <w:r>
            <w:rPr>
              <w:szCs w:val="24"/>
            </w:rPr>
            <w:t>2024 m kovo 18 d. Nr. V-307</w:t>
          </w:r>
        </w:p>
        <w:p w:rsidR="00BD1576" w:rsidRDefault="00F00BA9">
          <w:pPr>
            <w:overflowPunct w:val="0"/>
            <w:ind w:left="108"/>
            <w:jc w:val="center"/>
            <w:textAlignment w:val="baseline"/>
            <w:rPr>
              <w:szCs w:val="24"/>
            </w:rPr>
          </w:pPr>
          <w:smartTag w:uri="urn:schemas-tilde-lv/tildestengine" w:element="firmas">
            <w:r>
              <w:rPr>
                <w:szCs w:val="24"/>
              </w:rPr>
              <w:t>Vilnius</w:t>
            </w:r>
          </w:smartTag>
        </w:p>
        <w:p w:rsidR="00BD1576" w:rsidRDefault="00BD1576">
          <w:pPr>
            <w:rPr>
              <w:szCs w:val="24"/>
            </w:rPr>
          </w:pPr>
        </w:p>
        <w:p w:rsidR="00BD1576" w:rsidRDefault="00BD1576">
          <w:pPr>
            <w:overflowPunct w:val="0"/>
            <w:jc w:val="both"/>
            <w:textAlignment w:val="baseline"/>
            <w:rPr>
              <w:szCs w:val="24"/>
            </w:rPr>
          </w:pPr>
        </w:p>
        <w:p w:rsidR="00BD1576" w:rsidRDefault="00BD1576">
          <w:pPr>
            <w:rPr>
              <w:sz w:val="2"/>
              <w:szCs w:val="2"/>
            </w:rPr>
          </w:pPr>
        </w:p>
        <w:sdt>
          <w:sdtPr>
            <w:rPr>
              <w:szCs w:val="24"/>
            </w:rPr>
            <w:alias w:val="preambule"/>
            <w:tag w:val="part_61d5ec9b14a34560a13a773d705f1378"/>
            <w:id w:val="1465616676"/>
            <w:lock w:val="sdtLocked"/>
            <w:placeholder>
              <w:docPart w:val="DefaultPlaceholder_-1854013440"/>
            </w:placeholder>
          </w:sdtPr>
          <w:sdtEndPr>
            <w:rPr>
              <w:lang w:eastAsia="en-GB"/>
            </w:rPr>
          </w:sdtEndPr>
          <w:sdtContent>
            <w:p w:rsidR="00BD1576" w:rsidRDefault="00F00BA9" w:rsidP="00F00BA9">
              <w:pPr>
                <w:overflowPunct w:val="0"/>
                <w:ind w:firstLine="1134"/>
                <w:jc w:val="both"/>
                <w:textAlignment w:val="baseline"/>
                <w:rPr>
                  <w:sz w:val="2"/>
                  <w:szCs w:val="2"/>
                </w:rPr>
              </w:pPr>
              <w:r>
                <w:rPr>
                  <w:szCs w:val="24"/>
                </w:rPr>
                <w:t xml:space="preserve">Vadovaudamasis Strateginio valdymo metodikos, patvirtintos Lietuvos Respublikos Vyriausybės 2021 m. balandžio 28 d. nutarimu Nr. 292 „Dėl Strateginio valdymo metodikos patvirtinimo“, 94 ir 139 punktais ir </w:t>
              </w:r>
              <w:r>
                <w:rPr>
                  <w:color w:val="000000"/>
                  <w:szCs w:val="24"/>
                </w:rPr>
                <w:t xml:space="preserve">2021–2027 metų Europos Sąjungos fondų investicijų programos ir Ekonomikos gaivinimo ir atsparumo </w:t>
              </w:r>
              <w:r>
                <w:rPr>
                  <w:szCs w:val="24"/>
                </w:rPr>
                <w:t xml:space="preserve">didinimo plano „Naujos kartos Lietuva“ administravimo taisyklių, patvirtintų </w:t>
              </w:r>
              <w:r>
                <w:rPr>
                  <w:szCs w:val="24"/>
                  <w:lang w:eastAsia="en-GB"/>
                </w:rPr>
                <w:t>Lietuvos Respublikos finansų ministro 2022 m. birželio 22 d. įsakymu Nr. 1K-237 „</w:t>
              </w:r>
              <w:r>
                <w:rPr>
                  <w:szCs w:val="24"/>
                  <w:shd w:val="clear" w:color="auto" w:fill="FFFFFF"/>
                </w:rPr>
                <w:t>Dėl 2021–2027 metų Europos Sąjungos fondų investicijų programos ir Ekonomikos gaivinimo ir atsparumo didinimo plano „Naujos kartos Lietuva“ įgyvendinimo</w:t>
              </w:r>
              <w:r>
                <w:rPr>
                  <w:szCs w:val="24"/>
                  <w:lang w:eastAsia="en-GB"/>
                </w:rPr>
                <w:t>“, 95 ir 96 punktais,</w:t>
              </w:r>
            </w:p>
          </w:sdtContent>
        </w:sdt>
        <w:sdt>
          <w:sdtPr>
            <w:rPr>
              <w:spacing w:val="70"/>
              <w:szCs w:val="24"/>
            </w:rPr>
            <w:alias w:val="pastraipa"/>
            <w:tag w:val="part_69ac282029944dd0873ca998fca13f25"/>
            <w:id w:val="-2058456991"/>
            <w:lock w:val="sdtLocked"/>
            <w:placeholder>
              <w:docPart w:val="DefaultPlaceholder_-1854013440"/>
            </w:placeholder>
          </w:sdtPr>
          <w:sdtEndPr>
            <w:rPr>
              <w:spacing w:val="0"/>
              <w:szCs w:val="20"/>
            </w:rPr>
          </w:sdtEndPr>
          <w:sdtContent>
            <w:p w:rsidR="00BD1576" w:rsidRDefault="00F00BA9">
              <w:pPr>
                <w:overflowPunct w:val="0"/>
                <w:ind w:firstLine="1134"/>
                <w:jc w:val="both"/>
                <w:textAlignment w:val="baseline"/>
                <w:rPr>
                  <w:szCs w:val="24"/>
                </w:rPr>
              </w:pPr>
              <w:r>
                <w:rPr>
                  <w:spacing w:val="70"/>
                  <w:szCs w:val="24"/>
                </w:rPr>
                <w:t>pakeičiu</w:t>
              </w:r>
              <w:r>
                <w:rPr>
                  <w:szCs w:val="24"/>
                </w:rPr>
                <w:t xml:space="preserve"> 2021–2030 m. plėtros programos valdytojos Lietuvos Respublikos švietimo, mokslo ir sporto ministerijos švietimo plėtros programos pažangos priemonės Nr. 12-003-03-01-04 „Užtikrinti visiems prieinamą ankstyvąjį ugdymą“ aprašą, patvirtintą Lietuvos Respublikos švietimo, mokslo ir sporto ministro 2022 m. gegužės 31 d. įsakymu Nr. V-878 „Dėl 2021–2030 m. plėtros programos valdytojos Lietuvos Respublikos švietimo, mokslo ir sporto ministerijos švietimo plėtros programos pažangos priemonės Nr. 12-003-03-01-04 „Užtikrinti visiems prieinamą ankstyvąjį ugdymą“ aprašo patvirtinimo“, ir 2 priedo 14 punktą išdėstau taip:</w:t>
              </w:r>
            </w:p>
            <w:p w:rsidR="00BD1576" w:rsidRDefault="00BD1576">
              <w:pPr>
                <w:rPr>
                  <w:sz w:val="2"/>
                  <w:szCs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9"/>
              </w:tblGrid>
              <w:tr w:rsidR="00BD1576" w:rsidTr="00F00BA9">
                <w:trPr>
                  <w:trHeight w:val="349"/>
                </w:trPr>
                <w:tc>
                  <w:tcPr>
                    <w:tcW w:w="5000" w:type="pct"/>
                  </w:tcPr>
                  <w:p w:rsidR="00BD1576" w:rsidRDefault="00F00BA9">
                    <w:pPr>
                      <w:overflowPunct w:val="0"/>
                      <w:jc w:val="both"/>
                      <w:textAlignment w:val="baseline"/>
                      <w:rPr>
                        <w:szCs w:val="24"/>
                      </w:rPr>
                    </w:pPr>
                    <w:r>
                      <w:rPr>
                        <w:bCs/>
                        <w:szCs w:val="24"/>
                      </w:rPr>
                      <w:t>„</w:t>
                    </w:r>
                    <w:r>
                      <w:rPr>
                        <w:b/>
                        <w:szCs w:val="24"/>
                      </w:rPr>
                      <w:t>14. Projektų veiklų ir jungtinio projekto projektų įgyvendinimui taikomi supaprastintai apmokamų išlaidų dydžiai</w:t>
                    </w:r>
                  </w:p>
                </w:tc>
              </w:tr>
              <w:tr w:rsidR="00BD1576" w:rsidTr="00F00BA9">
                <w:tc>
                  <w:tcPr>
                    <w:tcW w:w="5000" w:type="pct"/>
                  </w:tcPr>
                  <w:p w:rsidR="00BD1576" w:rsidRDefault="00F00BA9">
                    <w:pPr>
                      <w:overflowPunct w:val="0"/>
                      <w:jc w:val="both"/>
                      <w:textAlignment w:val="baseline"/>
                      <w:rPr>
                        <w:iCs/>
                        <w:szCs w:val="24"/>
                      </w:rPr>
                    </w:pPr>
                    <w:r>
                      <w:rPr>
                        <w:iCs/>
                        <w:szCs w:val="24"/>
                      </w:rPr>
                      <w:t xml:space="preserve">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t>
                    </w:r>
                    <w:r>
                      <w:rPr>
                        <w:iCs/>
                        <w:color w:val="0000FF"/>
                        <w:szCs w:val="24"/>
                        <w:u w:val="single"/>
                      </w:rPr>
                      <w:t>www.esf.lt</w:t>
                    </w:r>
                    <w:r>
                      <w:rPr>
                        <w:iCs/>
                        <w:szCs w:val="24"/>
                      </w:rPr>
                      <w:t xml:space="preserve"> skiltyje „Metodinės pagalbos centras“.</w:t>
                    </w:r>
                  </w:p>
                  <w:p w:rsidR="00BD1576" w:rsidRDefault="00F00BA9">
                    <w:pPr>
                      <w:overflowPunct w:val="0"/>
                      <w:jc w:val="both"/>
                      <w:textAlignment w:val="baseline"/>
                      <w:rPr>
                        <w:szCs w:val="24"/>
                      </w:rPr>
                    </w:pPr>
                    <w:r>
                      <w:rPr>
                        <w:szCs w:val="24"/>
                      </w:rPr>
                      <w:t>14.2. Supaprastintai apmokamų išlaidų dydžiai gali būti įtraukti laikotarpiu ir po projektų sutarčių pasirašymo nuo 2020 m. vasario 1 d. iki 2026 m. rugpjūčio 31 d.</w:t>
                    </w:r>
                  </w:p>
                  <w:p w:rsidR="00BD1576" w:rsidRDefault="00F00BA9">
                    <w:pPr>
                      <w:overflowPunct w:val="0"/>
                      <w:jc w:val="both"/>
                      <w:textAlignment w:val="baseline"/>
                      <w:rPr>
                        <w:szCs w:val="24"/>
                      </w:rPr>
                    </w:pPr>
                    <w:r>
                      <w:rPr>
                        <w:szCs w:val="24"/>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p w:rsidR="00BD1576" w:rsidRDefault="00BD1576">
                    <w:pPr>
                      <w:overflowPunct w:val="0"/>
                      <w:jc w:val="both"/>
                      <w:textAlignment w:val="baseline"/>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16"/>
                      <w:gridCol w:w="1737"/>
                      <w:gridCol w:w="1737"/>
                      <w:gridCol w:w="1839"/>
                      <w:gridCol w:w="2364"/>
                    </w:tblGrid>
                    <w:tr w:rsidR="00BD1576" w:rsidTr="00F00BA9">
                      <w:tc>
                        <w:tcPr>
                          <w:tcW w:w="9088" w:type="dxa"/>
                          <w:gridSpan w:val="5"/>
                          <w:tcBorders>
                            <w:top w:val="single" w:sz="8" w:space="0" w:color="auto"/>
                            <w:left w:val="single" w:sz="8" w:space="0" w:color="auto"/>
                            <w:bottom w:val="single" w:sz="8" w:space="0" w:color="auto"/>
                            <w:right w:val="single" w:sz="8" w:space="0" w:color="auto"/>
                          </w:tcBorders>
                        </w:tcPr>
                        <w:p w:rsidR="00BD1576" w:rsidRDefault="00F00BA9">
                          <w:pPr>
                            <w:overflowPunct w:val="0"/>
                            <w:jc w:val="both"/>
                            <w:textAlignment w:val="baseline"/>
                            <w:rPr>
                              <w:b/>
                              <w:bCs/>
                              <w:szCs w:val="24"/>
                            </w:rPr>
                          </w:pPr>
                          <w:r>
                            <w:rPr>
                              <w:rFonts w:ascii="Segoe UI Symbol" w:eastAsia="MS Gothic" w:hAnsi="Segoe UI Symbol" w:cs="Segoe UI Symbol"/>
                              <w:b/>
                              <w:bCs/>
                              <w:szCs w:val="24"/>
                            </w:rPr>
                            <w:t>☒</w:t>
                          </w:r>
                          <w:r>
                            <w:rPr>
                              <w:rFonts w:eastAsia="MS Gothic"/>
                              <w:b/>
                              <w:bCs/>
                              <w:szCs w:val="24"/>
                            </w:rPr>
                            <w:t xml:space="preserve"> </w:t>
                          </w:r>
                          <w:r>
                            <w:rPr>
                              <w:b/>
                              <w:bCs/>
                              <w:szCs w:val="24"/>
                            </w:rPr>
                            <w:t>Indeksuojama</w:t>
                          </w:r>
                        </w:p>
                        <w:p w:rsidR="00BD1576" w:rsidRDefault="00F00BA9">
                          <w:pPr>
                            <w:overflowPunct w:val="0"/>
                            <w:jc w:val="both"/>
                            <w:textAlignment w:val="baseline"/>
                            <w:rPr>
                              <w:b/>
                              <w:bCs/>
                              <w:szCs w:val="24"/>
                            </w:rPr>
                          </w:pPr>
                          <w:r>
                            <w:rPr>
                              <w:rFonts w:ascii="Segoe UI Symbol" w:eastAsia="MS Gothic" w:hAnsi="Segoe UI Symbol" w:cs="Segoe UI Symbol"/>
                              <w:b/>
                              <w:bCs/>
                              <w:szCs w:val="24"/>
                            </w:rPr>
                            <w:t>☐</w:t>
                          </w:r>
                          <w:r>
                            <w:rPr>
                              <w:rFonts w:eastAsia="MS Gothic"/>
                              <w:b/>
                              <w:bCs/>
                              <w:szCs w:val="24"/>
                            </w:rPr>
                            <w:t xml:space="preserve"> </w:t>
                          </w:r>
                          <w:r>
                            <w:rPr>
                              <w:b/>
                              <w:bCs/>
                              <w:szCs w:val="24"/>
                            </w:rPr>
                            <w:t>Neindeksuojama</w:t>
                          </w:r>
                        </w:p>
                      </w:tc>
                    </w:tr>
                    <w:tr w:rsidR="00BD1576" w:rsidTr="00F00BA9">
                      <w:tc>
                        <w:tcPr>
                          <w:tcW w:w="1718" w:type="dxa"/>
                          <w:tcBorders>
                            <w:top w:val="single" w:sz="8" w:space="0" w:color="auto"/>
                            <w:left w:val="single" w:sz="8" w:space="0" w:color="auto"/>
                            <w:bottom w:val="single" w:sz="8" w:space="0" w:color="auto"/>
                            <w:right w:val="single" w:sz="8" w:space="0" w:color="auto"/>
                          </w:tcBorders>
                          <w:vAlign w:val="center"/>
                        </w:tcPr>
                        <w:p w:rsidR="00BD1576" w:rsidRDefault="00F00BA9">
                          <w:pPr>
                            <w:overflowPunct w:val="0"/>
                            <w:jc w:val="center"/>
                            <w:textAlignment w:val="baseline"/>
                            <w:rPr>
                              <w:b/>
                              <w:bCs/>
                              <w:szCs w:val="24"/>
                            </w:rPr>
                          </w:pPr>
                          <w:r>
                            <w:rPr>
                              <w:b/>
                              <w:bCs/>
                              <w:szCs w:val="24"/>
                            </w:rPr>
                            <w:t xml:space="preserve">Veiklos ir (ar) išlaidos, kurioms taikomi </w:t>
                          </w:r>
                          <w:r>
                            <w:rPr>
                              <w:b/>
                              <w:bCs/>
                              <w:szCs w:val="24"/>
                            </w:rPr>
                            <w:lastRenderedPageBreak/>
                            <w:t>supaprastintai apmokamų išlaidų dydžiai</w:t>
                          </w:r>
                        </w:p>
                      </w:tc>
                      <w:tc>
                        <w:tcPr>
                          <w:tcW w:w="1566" w:type="dxa"/>
                          <w:tcBorders>
                            <w:top w:val="single" w:sz="8" w:space="0" w:color="auto"/>
                            <w:left w:val="single" w:sz="8" w:space="0" w:color="auto"/>
                            <w:bottom w:val="single" w:sz="8" w:space="0" w:color="auto"/>
                            <w:right w:val="single" w:sz="8" w:space="0" w:color="auto"/>
                          </w:tcBorders>
                          <w:vAlign w:val="center"/>
                        </w:tcPr>
                        <w:p w:rsidR="00BD1576" w:rsidRDefault="00F00BA9">
                          <w:pPr>
                            <w:overflowPunct w:val="0"/>
                            <w:jc w:val="center"/>
                            <w:textAlignment w:val="baseline"/>
                            <w:rPr>
                              <w:b/>
                              <w:bCs/>
                              <w:szCs w:val="24"/>
                            </w:rPr>
                          </w:pPr>
                          <w:r>
                            <w:rPr>
                              <w:b/>
                              <w:bCs/>
                              <w:szCs w:val="24"/>
                            </w:rPr>
                            <w:lastRenderedPageBreak/>
                            <w:t>Supaprastintai apmokamų išlaidų dydžio kodas</w:t>
                          </w:r>
                        </w:p>
                      </w:tc>
                      <w:tc>
                        <w:tcPr>
                          <w:tcW w:w="1560" w:type="dxa"/>
                          <w:tcBorders>
                            <w:top w:val="single" w:sz="8" w:space="0" w:color="auto"/>
                            <w:left w:val="single" w:sz="8" w:space="0" w:color="auto"/>
                            <w:bottom w:val="single" w:sz="8" w:space="0" w:color="auto"/>
                            <w:right w:val="single" w:sz="8" w:space="0" w:color="auto"/>
                          </w:tcBorders>
                          <w:vAlign w:val="center"/>
                        </w:tcPr>
                        <w:p w:rsidR="00BD1576" w:rsidRDefault="00F00BA9">
                          <w:pPr>
                            <w:overflowPunct w:val="0"/>
                            <w:jc w:val="center"/>
                            <w:textAlignment w:val="baseline"/>
                            <w:rPr>
                              <w:b/>
                              <w:bCs/>
                              <w:i/>
                              <w:iCs/>
                              <w:color w:val="808080"/>
                              <w:szCs w:val="24"/>
                            </w:rPr>
                          </w:pPr>
                          <w:r>
                            <w:rPr>
                              <w:b/>
                              <w:bCs/>
                              <w:szCs w:val="24"/>
                            </w:rPr>
                            <w:t>Supaprastintai apmokamų išlaidų dydžio versija</w:t>
                          </w:r>
                        </w:p>
                      </w:tc>
                      <w:tc>
                        <w:tcPr>
                          <w:tcW w:w="1842" w:type="dxa"/>
                          <w:tcBorders>
                            <w:top w:val="single" w:sz="8" w:space="0" w:color="auto"/>
                            <w:left w:val="single" w:sz="8" w:space="0" w:color="auto"/>
                            <w:bottom w:val="single" w:sz="8" w:space="0" w:color="auto"/>
                            <w:right w:val="single" w:sz="8" w:space="0" w:color="auto"/>
                          </w:tcBorders>
                          <w:vAlign w:val="center"/>
                        </w:tcPr>
                        <w:p w:rsidR="00BD1576" w:rsidRDefault="00F00BA9">
                          <w:pPr>
                            <w:overflowPunct w:val="0"/>
                            <w:jc w:val="center"/>
                            <w:textAlignment w:val="baseline"/>
                            <w:rPr>
                              <w:b/>
                              <w:bCs/>
                              <w:szCs w:val="24"/>
                            </w:rPr>
                          </w:pPr>
                          <w:r>
                            <w:rPr>
                              <w:b/>
                              <w:bCs/>
                              <w:szCs w:val="24"/>
                            </w:rPr>
                            <w:t>Supaprastintai apmokamų išlaidų dydžio pavadinimas</w:t>
                          </w:r>
                        </w:p>
                      </w:tc>
                      <w:tc>
                        <w:tcPr>
                          <w:tcW w:w="2402" w:type="dxa"/>
                          <w:tcBorders>
                            <w:top w:val="single" w:sz="8" w:space="0" w:color="auto"/>
                            <w:left w:val="single" w:sz="8" w:space="0" w:color="auto"/>
                            <w:bottom w:val="single" w:sz="8" w:space="0" w:color="auto"/>
                            <w:right w:val="single" w:sz="8" w:space="0" w:color="auto"/>
                          </w:tcBorders>
                          <w:vAlign w:val="center"/>
                        </w:tcPr>
                        <w:p w:rsidR="00BD1576" w:rsidRDefault="00F00BA9">
                          <w:pPr>
                            <w:overflowPunct w:val="0"/>
                            <w:jc w:val="center"/>
                            <w:textAlignment w:val="baseline"/>
                            <w:rPr>
                              <w:b/>
                              <w:bCs/>
                              <w:szCs w:val="24"/>
                            </w:rPr>
                          </w:pPr>
                          <w:r>
                            <w:rPr>
                              <w:b/>
                              <w:bCs/>
                              <w:szCs w:val="24"/>
                            </w:rPr>
                            <w:t>Papildoma informacija</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t>Netiesioginės išlaidos</w:t>
                          </w: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(FN-01)</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01</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t>Fiksuotoji norma netiesioginėms projekto išlaidoms</w:t>
                          </w:r>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t>Netiesioginės projekto išlaidos skaičiuojamos nuo tinkamų finansuoti tiesioginių projekto išlaidų (7 proc.).</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shd w:val="clear" w:color="auto" w:fill="FFFFFF"/>
                            </w:rPr>
                          </w:pPr>
                          <w:r>
                            <w:rPr>
                              <w:szCs w:val="24"/>
                              <w:shd w:val="clear" w:color="auto" w:fill="FFFFFF"/>
                            </w:rPr>
                            <w:t>Privalomoms projektų matomumo ir informavimo apie projektus priemonėms pagal PAFT 340 ir 341 punktus taikoma fiksuotoji suma (toliau – FS)</w:t>
                          </w: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FS-01-02</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01</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t>Įgyvendintų privalomų matomumo ir informavimo priemonių apie Europos Sąjungos fondų investicijų veiklas fiksuotoji suma, pirmojo rinkinio FS su PVM</w:t>
                          </w:r>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Fiksuotąją sumą sudaro visų pirmojo privalomų matomumo ir informavimo priemonių rinkinio išlaidos, kai:</w:t>
                          </w:r>
                        </w:p>
                        <w:p w:rsidR="00BD1576" w:rsidRDefault="00F00BA9">
                          <w:pPr>
                            <w:overflowPunct w:val="0"/>
                            <w:textAlignment w:val="baseline"/>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BD1576" w:rsidRDefault="00F00BA9">
                          <w:pPr>
                            <w:overflowPunct w:val="0"/>
                            <w:textAlignment w:val="baseline"/>
                            <w:rPr>
                              <w:szCs w:val="24"/>
                            </w:rPr>
                          </w:pPr>
                          <w:r>
                            <w:rPr>
                              <w:szCs w:val="24"/>
                            </w:rPr>
                            <w:t>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iš ES gaunamą finansinę paramą;</w:t>
                          </w:r>
                        </w:p>
                        <w:p w:rsidR="00BD1576" w:rsidRDefault="00F00BA9">
                          <w:pPr>
                            <w:overflowPunct w:val="0"/>
                            <w:textAlignment w:val="baseline"/>
                            <w:rPr>
                              <w:i/>
                              <w:iCs/>
                              <w:szCs w:val="24"/>
                            </w:rPr>
                          </w:pPr>
                          <w:r>
                            <w:rPr>
                              <w:szCs w:val="24"/>
                            </w:rPr>
                            <w:lastRenderedPageBreak/>
                            <w:t>c) visuomenei arba dalyviams skirtuose dokumentuose ir komunikacijos medžiagoje, susijusioje su veiksmo įgyvendinimu, gerai matomai pateiktas pareiškimas, kuriame akcentuojama gaunama ES parama.</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lastRenderedPageBreak/>
                            <w:t>Privalomoms projektų matomumo ir informavimo apie projektus priemonėms pagal PAFT 340 ir 341 punktus taikoma fiksuotoji suma (FS) be PVM</w:t>
                          </w: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FS-01-01</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i/>
                              <w:iCs/>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i/>
                              <w:iCs/>
                              <w:szCs w:val="24"/>
                            </w:rPr>
                          </w:pPr>
                          <w:r>
                            <w:rPr>
                              <w:szCs w:val="24"/>
                            </w:rPr>
                            <w:t>Įgyvendintų privalomų matomumo ir informavimo priemonių apie Europos Sąjungos fondų investicijų veiklas fiksuotoji suma, pirmojo rinkinio FS be PVM</w:t>
                          </w:r>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Fiksuotąją sumą sudaro visų pirmojo privalomų matomumo ir informavimo priemonių rinkinio išlaidos, kai:</w:t>
                          </w:r>
                        </w:p>
                        <w:p w:rsidR="00BD1576" w:rsidRDefault="00F00BA9">
                          <w:pPr>
                            <w:overflowPunct w:val="0"/>
                            <w:textAlignment w:val="baseline"/>
                            <w:rPr>
                              <w:szCs w:val="24"/>
                            </w:rPr>
                          </w:pPr>
                          <w:r>
                            <w:rPr>
                              <w:szCs w:val="24"/>
                            </w:rPr>
                            <w:t>a) projekto įgyvendinimo pradžioje projekto vykdytojo oficialioje interneto svetainėje, jei tokia yra, ir socialinės žiniasklaidos svetainėse paskelbta informacija – trumpas veiksmo, įskaitant jo tikslus ir rezultatus, aprašymas, proporcingas paramos dydžiui, bei informavimas apie iš ES gaunamą finansinę paramą;</w:t>
                          </w:r>
                        </w:p>
                        <w:p w:rsidR="00BD1576" w:rsidRDefault="00F00BA9">
                          <w:pPr>
                            <w:overflowPunct w:val="0"/>
                            <w:textAlignment w:val="baseline"/>
                            <w:rPr>
                              <w:szCs w:val="24"/>
                            </w:rPr>
                          </w:pPr>
                          <w:r>
                            <w:rPr>
                              <w:szCs w:val="24"/>
                            </w:rPr>
                            <w:t xml:space="preserve">b) projekto įgyvendinimo pradžioje visuomenei gerai matomoje vietoje pakabintas bent vienas ne mažesnio nei A3 formato spausdintas skelbimas (plakatas) arba elektroniniame ekrane paskelbtas lygiavertis pranešimas, kuriame turi būti pateikta informacija apie veiksmą, akcentuojant </w:t>
                          </w:r>
                          <w:r>
                            <w:rPr>
                              <w:szCs w:val="24"/>
                            </w:rPr>
                            <w:lastRenderedPageBreak/>
                            <w:t>iš ES gaunamą finansinę paramą;</w:t>
                          </w:r>
                        </w:p>
                        <w:p w:rsidR="00BD1576" w:rsidRDefault="00F00BA9">
                          <w:pPr>
                            <w:overflowPunct w:val="0"/>
                            <w:textAlignment w:val="baseline"/>
                            <w:rPr>
                              <w:i/>
                              <w:iCs/>
                              <w:szCs w:val="24"/>
                            </w:rPr>
                          </w:pPr>
                          <w:r>
                            <w:rPr>
                              <w:szCs w:val="24"/>
                            </w:rPr>
                            <w:t>c) visuomenei arba dalyviams skirtuose dokumentuose ir komunikacijos medžiagoje, susijusioje su veiksmo įgyvendinimu, gerai matomai pateiktas pareiškimas, kuriame akcentuojama gaunama ES parama.</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Socialinę riziką patiriančioje šeimoje 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FĮ-49-01</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už vieną socialinę riziką patiriančios šeimos vaiką, kuriam nėra skirtas privalomas ikimokyklinis ugdymas, dalyvaujantį neformaliojo švietimo veiklose, – 372,26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Vieno mėnesio fiksuotasis vieneto įkainis už vieną socialinę riziką patiriančios šeimos vaiką, kuriam nėra skirtas privalomas ikimokyklinis ugdymas, dalyvaujantį neformaliojo švietimo veiklose.</w:t>
                          </w:r>
                        </w:p>
                        <w:p w:rsidR="00BD1576" w:rsidRDefault="00F00BA9">
                          <w:pPr>
                            <w:overflowPunct w:val="0"/>
                            <w:textAlignment w:val="baseline"/>
                            <w:rPr>
                              <w:szCs w:val="24"/>
                            </w:rPr>
                          </w:pPr>
                          <w:r>
                            <w:rPr>
                              <w:szCs w:val="24"/>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ugdymo programas maitinimo išlaidos; vaikų iš socialinę riziką patiriančių šeimų ir ugdomų pagal ikimokyklinio ugdymo programą pavėžėjimo </w:t>
                          </w:r>
                          <w:r>
                            <w:rPr>
                              <w:szCs w:val="24"/>
                            </w:rPr>
                            <w:lastRenderedPageBreak/>
                            <w:t>(vežiojimo) ir lydinčio asmens darbo užmokesčio išlaidos; kultūros veiklų išlaidos; neformaliojo vaikų švietimo veiklų išlaidos; papildomos mokymo išlaidos ugdymui ir švietimo pagalbai (ugdymo lėšos).</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Socialinę riziką patiriančioje šeimoje 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FĮ-49-02</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už vieną socialinę riziką patiriančios šeimos vaiką, kuriam nėra skirtas privalomas ikimokyklinis ugdymas, nedalyvaujantį neformaliojo švietimo veiklose, – 357,26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Vieno mėnesio fiksuotasis vieneto įkainis už vieną socialinę riziką patiriančios šeimos vaiką, kuriam nėra skirtas privalomas ikimokyklinis ugdymas, nedalyvaujantį neformaliojo švietimo veiklose.</w:t>
                          </w:r>
                        </w:p>
                        <w:p w:rsidR="00BD1576" w:rsidRDefault="00F00BA9">
                          <w:pPr>
                            <w:overflowPunct w:val="0"/>
                            <w:textAlignment w:val="baseline"/>
                            <w:rPr>
                              <w:szCs w:val="24"/>
                            </w:rPr>
                          </w:pPr>
                          <w:r>
                            <w:rPr>
                              <w:szCs w:val="24"/>
                            </w:rPr>
                            <w:t xml:space="preserve">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vaikų iš socialinę riziką patiriančių šeimų ir ugdomų pagal ikimokyklinio ugdymo programas maitinimo išlaidos; vaikų iš socialinę riziką patiriančių šeimų ir ugdomų pagal ikimokyklinio ugdymo programą pavėžėjimo (vežiojimo) ir lydinčio asmens </w:t>
                          </w:r>
                          <w:r>
                            <w:rPr>
                              <w:szCs w:val="24"/>
                            </w:rPr>
                            <w:lastRenderedPageBreak/>
                            <w:t>darbo užmokesčio išlaidos; kultūros veiklų išlaidos; papildomos mokymo išlaidos ugdymui ir švietimo pagalbai (ugdymo lėšos).</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Socialinę riziką patiriančioje šeimoje 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FĮ-49-03</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už vieną socialinę riziką patiriančios šeimos vaiką, kuriam yra skirtas privalomas ikimokyklinis ugdymas, dalyvaujantį neformaliojo švietimo veiklose, – 38,73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Vieno mėnesio fiksuotasis vieneto įkainis už vieną socialinę riziką patiriančios šeimos vaiką, kuriam yra skirtas privalomas ikimokyklinis ugdymas, dalyvaujantį neformaliojo švietimo veiklose.</w:t>
                          </w:r>
                        </w:p>
                        <w:p w:rsidR="00BD1576" w:rsidRDefault="00F00BA9">
                          <w:pPr>
                            <w:overflowPunct w:val="0"/>
                            <w:textAlignment w:val="baseline"/>
                            <w:rPr>
                              <w:szCs w:val="24"/>
                            </w:rPr>
                          </w:pPr>
                          <w:r>
                            <w:rPr>
                              <w:szCs w:val="24"/>
                            </w:rPr>
                            <w:t>Fiksuotąjį vieneto įkainį sudaro šios išlaidų kategorijos: individualių ugdymo priemonių įsigijimo vaikams iš socialinę riziką patiriančių šeimų ir ugdomiems pagal ikimokyklinio ugdymo programas išlaidos; savivaldybių reglamentuoto vaikų išlaikymo mokesčio išlaidos; kultūros veiklų išlaidos; neformaliojo vaikų švietimo veiklų išlaidos.</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Socialinę riziką patiriančioje šeimoje 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FĮ-49-04</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už vieną socialinę riziką patiriančios šeimos vaiką, kuriam yra skirtas privalomas ikimokyklinis ugdymas, nedalyvaujantį neformaliojo švietimo </w:t>
                          </w:r>
                          <w:r>
                            <w:rPr>
                              <w:szCs w:val="24"/>
                            </w:rPr>
                            <w:lastRenderedPageBreak/>
                            <w:t xml:space="preserve">veiklose, – 23,73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Vieno mėnesio fiksuotasis vieneto įkainis už vieną socialinę riziką patiriančios šeimos vaiką, kuriam yra skirtas privalomas ikimokyklinis ugdymas, nedalyvaujantį neformaliojo švietimo veiklose.</w:t>
                          </w:r>
                        </w:p>
                        <w:p w:rsidR="00BD1576" w:rsidRDefault="00F00BA9">
                          <w:pPr>
                            <w:overflowPunct w:val="0"/>
                            <w:textAlignment w:val="baseline"/>
                            <w:rPr>
                              <w:szCs w:val="24"/>
                            </w:rPr>
                          </w:pPr>
                          <w:r>
                            <w:rPr>
                              <w:szCs w:val="24"/>
                            </w:rPr>
                            <w:t xml:space="preserve">Fiksuotąjį vieneto įkainį sudaro šios išlaidų kategorijos: </w:t>
                          </w:r>
                          <w:r>
                            <w:rPr>
                              <w:szCs w:val="24"/>
                            </w:rPr>
                            <w:lastRenderedPageBreak/>
                            <w:t>individualių ugdymo priemonių įsigijimo vaikams iš socialinę riziką patiriančių šeimų ir ugdomiems pagal ikimokyklinio ugdymo programas išlaidos; savivaldybių reglamentuoto vaikų išlaikymo mokesčio išlaidos; kultūros veiklų išlaidos.</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Socialinę riziką patiriančioje šeimoje 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FĮ-49-05</w:t>
                          </w:r>
                        </w:p>
                      </w:tc>
                      <w:tc>
                        <w:tcPr>
                          <w:tcW w:w="1560"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t>-</w:t>
                          </w: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už vieną socialinę riziką patiriančios šeimos vaiką, kuris ugdomas pagal priešmokyklinio ugdymo programą, dalyvaujantį neformaliojo švietimo veiklose, – 76,54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Vieno mėnesio fiksuotasis vieneto įkainis už vieną socialinę riziką patiriančios šeimos vaiką, kuris ugdomas pagal priešmokyklinio ugdymo programą, dalyvaujantį neformaliojo švietimo veiklose.</w:t>
                          </w:r>
                        </w:p>
                        <w:p w:rsidR="00BD1576" w:rsidRDefault="00F00BA9">
                          <w:pPr>
                            <w:overflowPunct w:val="0"/>
                            <w:textAlignment w:val="baseline"/>
                            <w:rPr>
                              <w:szCs w:val="24"/>
                            </w:rPr>
                          </w:pPr>
                          <w:r>
                            <w:rPr>
                              <w:szCs w:val="24"/>
                            </w:rPr>
                            <w:t>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 neformaliojo vaikų švietimo veiklų išlaidos.</w:t>
                          </w:r>
                        </w:p>
                      </w:tc>
                    </w:tr>
                    <w:tr w:rsidR="00BD1576" w:rsidTr="00F00BA9">
                      <w:tc>
                        <w:tcPr>
                          <w:tcW w:w="1718"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Socialinę riziką patiriančioje šeimoje </w:t>
                          </w:r>
                          <w:r>
                            <w:rPr>
                              <w:szCs w:val="24"/>
                            </w:rPr>
                            <w:lastRenderedPageBreak/>
                            <w:t>gyvenantis vaikas, gaunantis mėnesio ikimokyklinį / privalomą ikimokyklinį / priešmokyklinį ugdymą</w:t>
                          </w:r>
                        </w:p>
                        <w:p w:rsidR="00BD1576" w:rsidRDefault="00BD1576">
                          <w:pPr>
                            <w:overflowPunct w:val="0"/>
                            <w:textAlignment w:val="baseline"/>
                            <w:rPr>
                              <w:szCs w:val="24"/>
                            </w:rPr>
                          </w:pPr>
                        </w:p>
                      </w:tc>
                      <w:tc>
                        <w:tcPr>
                          <w:tcW w:w="1566" w:type="dxa"/>
                          <w:tcBorders>
                            <w:top w:val="single" w:sz="8" w:space="0" w:color="auto"/>
                            <w:left w:val="single" w:sz="8" w:space="0" w:color="auto"/>
                            <w:bottom w:val="single" w:sz="8" w:space="0" w:color="auto"/>
                            <w:right w:val="single" w:sz="8" w:space="0" w:color="auto"/>
                          </w:tcBorders>
                        </w:tcPr>
                        <w:p w:rsidR="00BD1576" w:rsidRDefault="00F00BA9">
                          <w:pPr>
                            <w:overflowPunct w:val="0"/>
                            <w:jc w:val="center"/>
                            <w:textAlignment w:val="baseline"/>
                            <w:rPr>
                              <w:szCs w:val="24"/>
                            </w:rPr>
                          </w:pPr>
                          <w:r>
                            <w:rPr>
                              <w:szCs w:val="24"/>
                            </w:rPr>
                            <w:lastRenderedPageBreak/>
                            <w:t>FĮ-49-06</w:t>
                          </w:r>
                        </w:p>
                      </w:tc>
                      <w:tc>
                        <w:tcPr>
                          <w:tcW w:w="1560" w:type="dxa"/>
                          <w:tcBorders>
                            <w:top w:val="single" w:sz="8" w:space="0" w:color="auto"/>
                            <w:left w:val="single" w:sz="8" w:space="0" w:color="auto"/>
                            <w:bottom w:val="single" w:sz="8" w:space="0" w:color="auto"/>
                            <w:right w:val="single" w:sz="8" w:space="0" w:color="auto"/>
                          </w:tcBorders>
                        </w:tcPr>
                        <w:p w:rsidR="00BD1576" w:rsidRDefault="00BD1576">
                          <w:pPr>
                            <w:overflowPunct w:val="0"/>
                            <w:jc w:val="center"/>
                            <w:textAlignment w:val="baseline"/>
                            <w:rPr>
                              <w:szCs w:val="24"/>
                            </w:rPr>
                          </w:pPr>
                        </w:p>
                      </w:tc>
                      <w:tc>
                        <w:tcPr>
                          <w:tcW w:w="184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t xml:space="preserve">Vieno mėnesio fiksuotasis vieneto įkainis </w:t>
                          </w:r>
                          <w:r>
                            <w:rPr>
                              <w:szCs w:val="24"/>
                            </w:rPr>
                            <w:lastRenderedPageBreak/>
                            <w:t xml:space="preserve">už vieną socialinę riziką patiriančios šeimos vaiką, kuris ugdomas pagal priešmokyklinio ugdymo programą, nedalyvaujantį neformaliojo švietimo veiklose, – 61,54 </w:t>
                          </w:r>
                          <w:proofErr w:type="spellStart"/>
                          <w:r>
                            <w:rPr>
                              <w:szCs w:val="24"/>
                            </w:rPr>
                            <w:t>Eur</w:t>
                          </w:r>
                          <w:proofErr w:type="spellEnd"/>
                        </w:p>
                      </w:tc>
                      <w:tc>
                        <w:tcPr>
                          <w:tcW w:w="2402" w:type="dxa"/>
                          <w:tcBorders>
                            <w:top w:val="single" w:sz="8" w:space="0" w:color="auto"/>
                            <w:left w:val="single" w:sz="8" w:space="0" w:color="auto"/>
                            <w:bottom w:val="single" w:sz="8" w:space="0" w:color="auto"/>
                            <w:right w:val="single" w:sz="8" w:space="0" w:color="auto"/>
                          </w:tcBorders>
                        </w:tcPr>
                        <w:p w:rsidR="00BD1576" w:rsidRDefault="00F00BA9">
                          <w:pPr>
                            <w:overflowPunct w:val="0"/>
                            <w:textAlignment w:val="baseline"/>
                            <w:rPr>
                              <w:szCs w:val="24"/>
                            </w:rPr>
                          </w:pPr>
                          <w:r>
                            <w:rPr>
                              <w:szCs w:val="24"/>
                            </w:rPr>
                            <w:lastRenderedPageBreak/>
                            <w:t xml:space="preserve">Vieno mėnesio fiksuotasis vieneto įkainis už vieną </w:t>
                          </w:r>
                          <w:r>
                            <w:rPr>
                              <w:szCs w:val="24"/>
                            </w:rPr>
                            <w:lastRenderedPageBreak/>
                            <w:t>socialinę riziką patiriančios šeimos vaiką, kuris ugdomas pagal priešmokyklinio ugdymo programą, nedalyvaujantį neformaliojo švietimo veiklose.</w:t>
                          </w:r>
                        </w:p>
                        <w:p w:rsidR="00BD1576" w:rsidRDefault="00F00BA9">
                          <w:pPr>
                            <w:overflowPunct w:val="0"/>
                            <w:textAlignment w:val="baseline"/>
                            <w:rPr>
                              <w:szCs w:val="24"/>
                            </w:rPr>
                          </w:pPr>
                          <w:r>
                            <w:rPr>
                              <w:szCs w:val="24"/>
                            </w:rPr>
                            <w:t>Fiksuotąjį vieneto įkainį sudaro šios išlaidų kategorijos: individualių ugdymo priemonių įsigijimo vaikams iš socialinę riziką patiriančių šeimų ir ugdomiems pagal priešmokyklinio ugdymo programas išlaidos; savivaldybių reglamentuoto vaikų išlaikymo mokesčio išlaidos; vaikų iš socialinę riziką patiriančių šeimų ir ugdomų pagal priešmokyklinio ugdymo programas maitinimo išlaidos; kultūros veiklų išlaidos.“</w:t>
                          </w:r>
                        </w:p>
                      </w:tc>
                    </w:tr>
                  </w:tbl>
                  <w:p w:rsidR="00BD1576" w:rsidRDefault="00BD1576">
                    <w:pPr>
                      <w:overflowPunct w:val="0"/>
                      <w:jc w:val="both"/>
                      <w:textAlignment w:val="baseline"/>
                      <w:rPr>
                        <w:i/>
                        <w:iCs/>
                        <w:szCs w:val="24"/>
                      </w:rPr>
                    </w:pPr>
                  </w:p>
                </w:tc>
              </w:tr>
            </w:tbl>
            <w:p w:rsidR="00BD1576" w:rsidRDefault="00BD1576">
              <w:pPr>
                <w:rPr>
                  <w:sz w:val="2"/>
                  <w:szCs w:val="2"/>
                </w:rPr>
              </w:pPr>
            </w:p>
            <w:p w:rsidR="00BD1576" w:rsidRDefault="00753FDF">
              <w:pPr>
                <w:tabs>
                  <w:tab w:val="left" w:pos="5886"/>
                </w:tabs>
                <w:overflowPunct w:val="0"/>
                <w:textAlignment w:val="baseline"/>
              </w:pPr>
            </w:p>
          </w:sdtContent>
        </w:sdt>
        <w:sdt>
          <w:sdtPr>
            <w:alias w:val="signatura"/>
            <w:tag w:val="part_e79b0b29912e447ba08d190e13d24008"/>
            <w:id w:val="-1940600282"/>
            <w:lock w:val="sdtLocked"/>
          </w:sdtPr>
          <w:sdtEndPr/>
          <w:sdtContent>
            <w:p w:rsidR="00F00BA9" w:rsidRDefault="00F00BA9">
              <w:pPr>
                <w:tabs>
                  <w:tab w:val="left" w:pos="5886"/>
                </w:tabs>
                <w:overflowPunct w:val="0"/>
                <w:textAlignment w:val="baseline"/>
              </w:pPr>
            </w:p>
            <w:p w:rsidR="00F00BA9" w:rsidRDefault="00F00BA9">
              <w:pPr>
                <w:tabs>
                  <w:tab w:val="left" w:pos="5886"/>
                </w:tabs>
                <w:overflowPunct w:val="0"/>
                <w:textAlignment w:val="baseline"/>
              </w:pPr>
            </w:p>
            <w:p w:rsidR="00F00BA9" w:rsidRDefault="00F00BA9">
              <w:pPr>
                <w:tabs>
                  <w:tab w:val="left" w:pos="5886"/>
                </w:tabs>
                <w:overflowPunct w:val="0"/>
                <w:textAlignment w:val="baseline"/>
              </w:pPr>
            </w:p>
            <w:p w:rsidR="00BD1576" w:rsidRDefault="00F00BA9">
              <w:pPr>
                <w:tabs>
                  <w:tab w:val="left" w:pos="5886"/>
                </w:tabs>
                <w:overflowPunct w:val="0"/>
                <w:textAlignment w:val="baseline"/>
                <w:rPr>
                  <w:rFonts w:ascii="HelveticaLT" w:hAnsi="HelveticaLT"/>
                </w:rPr>
              </w:pPr>
              <w:r>
                <w:rPr>
                  <w:szCs w:val="24"/>
                </w:rPr>
                <w:t>Švietimo, mokslo ir sporto ministras</w:t>
              </w:r>
              <w:r>
                <w:rPr>
                  <w:szCs w:val="24"/>
                </w:rPr>
                <w:tab/>
              </w:r>
              <w:r>
                <w:rPr>
                  <w:szCs w:val="24"/>
                </w:rPr>
                <w:tab/>
              </w:r>
              <w:r>
                <w:rPr>
                  <w:szCs w:val="24"/>
                </w:rPr>
                <w:tab/>
                <w:t>Gintautas Jakštas</w:t>
              </w:r>
            </w:p>
          </w:sdtContent>
        </w:sdt>
      </w:sdtContent>
    </w:sdt>
    <w:sectPr w:rsidR="00BD1576">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1576" w:rsidRDefault="00F00BA9">
      <w:pPr>
        <w:overflowPunct w:val="0"/>
        <w:textAlignment w:val="baseline"/>
        <w:rPr>
          <w:rFonts w:ascii="HelveticaLT" w:hAnsi="HelveticaLT"/>
          <w:sz w:val="20"/>
        </w:rPr>
      </w:pPr>
      <w:r>
        <w:rPr>
          <w:rFonts w:ascii="HelveticaLT" w:hAnsi="HelveticaLT"/>
          <w:sz w:val="20"/>
        </w:rPr>
        <w:separator/>
      </w:r>
    </w:p>
  </w:endnote>
  <w:endnote w:type="continuationSeparator" w:id="0">
    <w:p w:rsidR="00BD1576" w:rsidRDefault="00F00BA9">
      <w:pPr>
        <w:overflowPunct w:val="0"/>
        <w:textAlignment w:val="baseline"/>
        <w:rPr>
          <w:rFonts w:ascii="HelveticaLT" w:hAnsi="HelveticaLT"/>
          <w:sz w:val="20"/>
        </w:rPr>
      </w:pPr>
      <w:r>
        <w:rPr>
          <w:rFonts w:ascii="HelveticaLT" w:hAnsi="HelveticaLT"/>
          <w:sz w:val="20"/>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F00BA9">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BD1576" w:rsidRDefault="00BD1576">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BD1576">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BD1576">
    <w:pPr>
      <w:framePr w:wrap="auto" w:vAnchor="text" w:hAnchor="margin" w:xAlign="right" w:y="1"/>
      <w:tabs>
        <w:tab w:val="center" w:pos="4153"/>
        <w:tab w:val="right" w:pos="8306"/>
      </w:tabs>
      <w:overflowPunct w:val="0"/>
      <w:textAlignment w:val="baseline"/>
      <w:rPr>
        <w:rFonts w:ascii="HelveticaLT" w:hAnsi="HelveticaLT"/>
        <w:sz w:val="16"/>
        <w:szCs w:val="16"/>
      </w:rPr>
    </w:pPr>
  </w:p>
  <w:p w:rsidR="00BD1576" w:rsidRDefault="00BD1576">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1576" w:rsidRDefault="00F00BA9">
      <w:pPr>
        <w:overflowPunct w:val="0"/>
        <w:textAlignment w:val="baseline"/>
        <w:rPr>
          <w:rFonts w:ascii="HelveticaLT" w:hAnsi="HelveticaLT"/>
          <w:sz w:val="20"/>
        </w:rPr>
      </w:pPr>
      <w:r>
        <w:rPr>
          <w:rFonts w:ascii="HelveticaLT" w:hAnsi="HelveticaLT"/>
          <w:sz w:val="20"/>
        </w:rPr>
        <w:separator/>
      </w:r>
    </w:p>
  </w:footnote>
  <w:footnote w:type="continuationSeparator" w:id="0">
    <w:p w:rsidR="00BD1576" w:rsidRDefault="00F00BA9">
      <w:pPr>
        <w:overflowPunct w:val="0"/>
        <w:textAlignment w:val="baseline"/>
        <w:rPr>
          <w:rFonts w:ascii="HelveticaLT" w:hAnsi="HelveticaLT"/>
          <w:sz w:val="20"/>
        </w:rPr>
      </w:pPr>
      <w:r>
        <w:rPr>
          <w:rFonts w:ascii="HelveticaLT" w:hAnsi="HelveticaLT"/>
          <w:sz w:val="20"/>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BD1576">
    <w:pPr>
      <w:tabs>
        <w:tab w:val="center" w:pos="4819"/>
        <w:tab w:val="right" w:pos="9071"/>
      </w:tabs>
      <w:overflowPunct w:val="0"/>
      <w:spacing w:after="160" w:line="259" w:lineRule="auto"/>
      <w:textAlignment w:val="baseline"/>
      <w:rPr>
        <w:rFonts w:ascii="HelveticaLT" w:hAnsi="HelveticaLT"/>
        <w:sz w:val="20"/>
        <w:szCs w:val="22"/>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F00BA9">
    <w:pPr>
      <w:tabs>
        <w:tab w:val="center" w:pos="4819"/>
        <w:tab w:val="right" w:pos="9071"/>
      </w:tabs>
      <w:overflowPunct w:val="0"/>
      <w:spacing w:after="160" w:line="259" w:lineRule="auto"/>
      <w:jc w:val="center"/>
      <w:textAlignment w:val="baseline"/>
      <w:rPr>
        <w:rFonts w:ascii="HelveticaLT" w:hAnsi="HelveticaLT"/>
        <w:sz w:val="20"/>
        <w:szCs w:val="22"/>
        <w:lang w:eastAsia="lt-LT"/>
      </w:rPr>
    </w:pPr>
    <w:r>
      <w:rPr>
        <w:rFonts w:ascii="HelveticaLT" w:hAnsi="HelveticaLT"/>
        <w:sz w:val="20"/>
        <w:szCs w:val="22"/>
        <w:lang w:eastAsia="lt-LT"/>
      </w:rPr>
      <w:fldChar w:fldCharType="begin"/>
    </w:r>
    <w:r>
      <w:rPr>
        <w:rFonts w:ascii="HelveticaLT" w:hAnsi="HelveticaLT"/>
        <w:sz w:val="20"/>
        <w:szCs w:val="22"/>
        <w:lang w:eastAsia="lt-LT"/>
      </w:rPr>
      <w:instrText>PAGE   \* MERGEFORMAT</w:instrText>
    </w:r>
    <w:r>
      <w:rPr>
        <w:rFonts w:ascii="HelveticaLT" w:hAnsi="HelveticaLT"/>
        <w:sz w:val="20"/>
        <w:szCs w:val="22"/>
        <w:lang w:eastAsia="lt-LT"/>
      </w:rPr>
      <w:fldChar w:fldCharType="separate"/>
    </w:r>
    <w:r w:rsidR="00753FDF">
      <w:rPr>
        <w:rFonts w:ascii="HelveticaLT" w:hAnsi="HelveticaLT"/>
        <w:noProof/>
        <w:sz w:val="20"/>
        <w:szCs w:val="22"/>
        <w:lang w:eastAsia="lt-LT"/>
      </w:rPr>
      <w:t>8</w:t>
    </w:r>
    <w:r>
      <w:rPr>
        <w:rFonts w:ascii="HelveticaLT" w:hAnsi="HelveticaLT"/>
        <w:sz w:val="20"/>
        <w:szCs w:val="22"/>
        <w:lang w:eastAsia="lt-LT"/>
      </w:rPr>
      <w:fldChar w:fldCharType="end"/>
    </w:r>
  </w:p>
  <w:p w:rsidR="00BD1576" w:rsidRDefault="00BD1576">
    <w:pPr>
      <w:tabs>
        <w:tab w:val="center" w:pos="4819"/>
        <w:tab w:val="right" w:pos="9071"/>
      </w:tabs>
      <w:overflowPunct w:val="0"/>
      <w:spacing w:after="160" w:line="259" w:lineRule="auto"/>
      <w:textAlignment w:val="baseline"/>
      <w:rPr>
        <w:rFonts w:ascii="HelveticaLT" w:hAnsi="HelveticaLT"/>
        <w:sz w:val="20"/>
        <w:szCs w:val="22"/>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1576" w:rsidRDefault="00BD1576">
    <w:pPr>
      <w:tabs>
        <w:tab w:val="center" w:pos="4986"/>
        <w:tab w:val="right" w:pos="9972"/>
      </w:tabs>
      <w:spacing w:after="160" w:line="259" w:lineRule="auto"/>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3474"/>
    <w:rsid w:val="00753FDF"/>
    <w:rsid w:val="00BD1576"/>
    <w:rsid w:val="00C13474"/>
    <w:rsid w:val="00F00B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5:chartTrackingRefBased/>
  <w15:docId w15:val="{FE527980-2340-4125-B4CE-5C3E6B46D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00BA9"/>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6200328">
      <w:bodyDiv w:val="1"/>
      <w:marLeft w:val="0"/>
      <w:marRight w:val="0"/>
      <w:marTop w:val="0"/>
      <w:marBottom w:val="0"/>
      <w:divBdr>
        <w:top w:val="none" w:sz="0" w:space="0" w:color="auto"/>
        <w:left w:val="none" w:sz="0" w:space="0" w:color="auto"/>
        <w:bottom w:val="none" w:sz="0" w:space="0" w:color="auto"/>
        <w:right w:val="none" w:sz="0" w:space="0" w:color="auto"/>
      </w:divBdr>
    </w:div>
    <w:div w:id="552735116">
      <w:bodyDiv w:val="1"/>
      <w:marLeft w:val="0"/>
      <w:marRight w:val="0"/>
      <w:marTop w:val="0"/>
      <w:marBottom w:val="0"/>
      <w:divBdr>
        <w:top w:val="none" w:sz="0" w:space="0" w:color="auto"/>
        <w:left w:val="none" w:sz="0" w:space="0" w:color="auto"/>
        <w:bottom w:val="none" w:sz="0" w:space="0" w:color="auto"/>
        <w:right w:val="none" w:sz="0" w:space="0" w:color="auto"/>
      </w:divBdr>
    </w:div>
    <w:div w:id="858659377">
      <w:bodyDiv w:val="1"/>
      <w:marLeft w:val="0"/>
      <w:marRight w:val="0"/>
      <w:marTop w:val="0"/>
      <w:marBottom w:val="0"/>
      <w:divBdr>
        <w:top w:val="none" w:sz="0" w:space="0" w:color="auto"/>
        <w:left w:val="none" w:sz="0" w:space="0" w:color="auto"/>
        <w:bottom w:val="none" w:sz="0" w:space="0" w:color="auto"/>
        <w:right w:val="none" w:sz="0" w:space="0" w:color="auto"/>
      </w:divBdr>
    </w:div>
    <w:div w:id="865756172">
      <w:bodyDiv w:val="1"/>
      <w:marLeft w:val="0"/>
      <w:marRight w:val="0"/>
      <w:marTop w:val="0"/>
      <w:marBottom w:val="0"/>
      <w:divBdr>
        <w:top w:val="none" w:sz="0" w:space="0" w:color="auto"/>
        <w:left w:val="none" w:sz="0" w:space="0" w:color="auto"/>
        <w:bottom w:val="none" w:sz="0" w:space="0" w:color="auto"/>
        <w:right w:val="none" w:sz="0" w:space="0" w:color="auto"/>
      </w:divBdr>
    </w:div>
    <w:div w:id="971179183">
      <w:bodyDiv w:val="1"/>
      <w:marLeft w:val="0"/>
      <w:marRight w:val="0"/>
      <w:marTop w:val="0"/>
      <w:marBottom w:val="0"/>
      <w:divBdr>
        <w:top w:val="none" w:sz="0" w:space="0" w:color="auto"/>
        <w:left w:val="none" w:sz="0" w:space="0" w:color="auto"/>
        <w:bottom w:val="none" w:sz="0" w:space="0" w:color="auto"/>
        <w:right w:val="none" w:sz="0" w:space="0" w:color="auto"/>
      </w:divBdr>
    </w:div>
    <w:div w:id="1378361650">
      <w:bodyDiv w:val="1"/>
      <w:marLeft w:val="0"/>
      <w:marRight w:val="0"/>
      <w:marTop w:val="0"/>
      <w:marBottom w:val="0"/>
      <w:divBdr>
        <w:top w:val="none" w:sz="0" w:space="0" w:color="auto"/>
        <w:left w:val="none" w:sz="0" w:space="0" w:color="auto"/>
        <w:bottom w:val="none" w:sz="0" w:space="0" w:color="auto"/>
        <w:right w:val="none" w:sz="0" w:space="0" w:color="auto"/>
      </w:divBdr>
    </w:div>
    <w:div w:id="1384870867">
      <w:bodyDiv w:val="1"/>
      <w:marLeft w:val="0"/>
      <w:marRight w:val="0"/>
      <w:marTop w:val="0"/>
      <w:marBottom w:val="0"/>
      <w:divBdr>
        <w:top w:val="none" w:sz="0" w:space="0" w:color="auto"/>
        <w:left w:val="none" w:sz="0" w:space="0" w:color="auto"/>
        <w:bottom w:val="none" w:sz="0" w:space="0" w:color="auto"/>
        <w:right w:val="none" w:sz="0" w:space="0" w:color="auto"/>
      </w:divBdr>
      <w:divsChild>
        <w:div w:id="1878807483">
          <w:marLeft w:val="0"/>
          <w:marRight w:val="0"/>
          <w:marTop w:val="0"/>
          <w:marBottom w:val="0"/>
          <w:divBdr>
            <w:top w:val="none" w:sz="0" w:space="0" w:color="auto"/>
            <w:left w:val="none" w:sz="0" w:space="0" w:color="auto"/>
            <w:bottom w:val="none" w:sz="0" w:space="0" w:color="auto"/>
            <w:right w:val="none" w:sz="0" w:space="0" w:color="auto"/>
          </w:divBdr>
        </w:div>
        <w:div w:id="1308588420">
          <w:marLeft w:val="0"/>
          <w:marRight w:val="0"/>
          <w:marTop w:val="0"/>
          <w:marBottom w:val="0"/>
          <w:divBdr>
            <w:top w:val="none" w:sz="0" w:space="0" w:color="auto"/>
            <w:left w:val="none" w:sz="0" w:space="0" w:color="auto"/>
            <w:bottom w:val="none" w:sz="0" w:space="0" w:color="auto"/>
            <w:right w:val="none" w:sz="0" w:space="0" w:color="auto"/>
          </w:divBdr>
        </w:div>
        <w:div w:id="1926377264">
          <w:marLeft w:val="0"/>
          <w:marRight w:val="0"/>
          <w:marTop w:val="0"/>
          <w:marBottom w:val="0"/>
          <w:divBdr>
            <w:top w:val="none" w:sz="0" w:space="0" w:color="auto"/>
            <w:left w:val="none" w:sz="0" w:space="0" w:color="auto"/>
            <w:bottom w:val="none" w:sz="0" w:space="0" w:color="auto"/>
            <w:right w:val="none" w:sz="0" w:space="0" w:color="auto"/>
          </w:divBdr>
        </w:div>
      </w:divsChild>
    </w:div>
    <w:div w:id="1393458530">
      <w:bodyDiv w:val="1"/>
      <w:marLeft w:val="0"/>
      <w:marRight w:val="0"/>
      <w:marTop w:val="0"/>
      <w:marBottom w:val="0"/>
      <w:divBdr>
        <w:top w:val="none" w:sz="0" w:space="0" w:color="auto"/>
        <w:left w:val="none" w:sz="0" w:space="0" w:color="auto"/>
        <w:bottom w:val="none" w:sz="0" w:space="0" w:color="auto"/>
        <w:right w:val="none" w:sz="0" w:space="0" w:color="auto"/>
      </w:divBdr>
    </w:div>
    <w:div w:id="1834948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BB10DBC-711C-4E41-9ACE-81895CAA8829}"/>
      </w:docPartPr>
      <w:docPartBody>
        <w:p w:rsidR="00400119" w:rsidRDefault="00A54B9A">
          <w:r w:rsidRPr="0059761C">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Arial"/>
    <w:charset w:val="00"/>
    <w:family w:val="swiss"/>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B9A"/>
    <w:rsid w:val="00400119"/>
    <w:rsid w:val="00A54B9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54B9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8d9895bc6514bb9830d32429c7da184" PartId="5cd97c3fec334ca18abb8ded05a44d46">
    <Part Type="preambule" DocPartId="566de11a8c874aa59bff4dc065abdb9d" PartId="61d5ec9b14a34560a13a773d705f1378"/>
    <Part Type="pastraipa" DocPartId="22fe1fe7ad0640789d7da365768a4525" PartId="69ac282029944dd0873ca998fca13f25"/>
    <Part Type="signatura" DocPartId="871471cb5cac469188ad78f3b6e0145b" PartId="e79b0b29912e447ba08d190e13d2400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BEB674-2BDB-480B-9DD0-312A1AB2DE60}">
  <ds:schemaRefs>
    <ds:schemaRef ds:uri="http://lrs.lt/TAIS/DocParts"/>
  </ds:schemaRefs>
</ds:datastoreItem>
</file>

<file path=customXml/itemProps2.xml><?xml version="1.0" encoding="utf-8"?>
<ds:datastoreItem xmlns:ds="http://schemas.openxmlformats.org/officeDocument/2006/customXml" ds:itemID="{33EE4504-1F17-48FB-BD8C-27879BC7B4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8</Pages>
  <Words>1401</Words>
  <Characters>10366</Characters>
  <Application>Microsoft Office Word</Application>
  <DocSecurity>0</DocSecurity>
  <Lines>86</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VKS</Company>
  <LinksUpToDate>false</LinksUpToDate>
  <CharactersWithSpaces>11744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Ulkienė Rita | ŠMSM</dc:creator>
  <cp:lastModifiedBy>DZIKAITĖ Jolanta</cp:lastModifiedBy>
  <cp:revision>4</cp:revision>
  <cp:lastPrinted>2010-02-18T07:54:00Z</cp:lastPrinted>
  <dcterms:created xsi:type="dcterms:W3CDTF">2024-03-18T09:03:00Z</dcterms:created>
  <dcterms:modified xsi:type="dcterms:W3CDTF">2024-03-19T07:01:00Z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ies>
</file>