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bd9bcb748274a7d859293e1f555b064"/>
        <w:id w:val="2080712863"/>
        <w:lock w:val="sdtLocked"/>
      </w:sdtPr>
      <w:sdtEndPr/>
      <w:sdtContent>
        <w:p w14:paraId="3ACB7998" w14:textId="061DE153" w:rsidR="00802E53" w:rsidRDefault="00EC6C1B" w:rsidP="00EC6C1B">
          <w:pPr>
            <w:tabs>
              <w:tab w:val="center" w:pos="4819"/>
              <w:tab w:val="right" w:pos="9638"/>
            </w:tabs>
            <w:jc w:val="center"/>
          </w:pPr>
          <w:r>
            <w:rPr>
              <w:noProof/>
              <w:lang w:eastAsia="lt-LT"/>
            </w:rPr>
            <w:drawing>
              <wp:inline distT="0" distB="0" distL="0" distR="0" wp14:anchorId="3ACB79AB" wp14:editId="3ACB79AC">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3ACB799A" w14:textId="77777777" w:rsidR="00802E53" w:rsidRDefault="00EC6C1B">
          <w:pPr>
            <w:jc w:val="center"/>
            <w:rPr>
              <w:b/>
              <w:caps/>
            </w:rPr>
          </w:pPr>
          <w:r>
            <w:rPr>
              <w:b/>
              <w:caps/>
            </w:rPr>
            <w:t>LIETUVOS RESPUBLIKOS ENERGETIKOS MINISTRAS</w:t>
          </w:r>
        </w:p>
        <w:p w14:paraId="3ACB799C" w14:textId="77777777" w:rsidR="00802E53" w:rsidRDefault="00802E53">
          <w:pPr>
            <w:widowControl w:val="0"/>
            <w:jc w:val="center"/>
            <w:textAlignment w:val="center"/>
            <w:rPr>
              <w:b/>
              <w:color w:val="000000"/>
              <w:szCs w:val="24"/>
            </w:rPr>
          </w:pPr>
        </w:p>
        <w:p w14:paraId="3ACB799D" w14:textId="77777777" w:rsidR="00802E53" w:rsidRDefault="00EC6C1B">
          <w:pPr>
            <w:widowControl w:val="0"/>
            <w:jc w:val="center"/>
            <w:textAlignment w:val="center"/>
            <w:rPr>
              <w:b/>
              <w:caps/>
              <w:color w:val="000000"/>
              <w:szCs w:val="24"/>
            </w:rPr>
          </w:pPr>
          <w:r>
            <w:rPr>
              <w:b/>
              <w:caps/>
              <w:color w:val="000000"/>
              <w:szCs w:val="24"/>
            </w:rPr>
            <w:t>įsakymas</w:t>
          </w:r>
        </w:p>
        <w:p w14:paraId="3ACB799E" w14:textId="77777777" w:rsidR="00802E53" w:rsidRDefault="00EC6C1B">
          <w:pPr>
            <w:jc w:val="center"/>
            <w:rPr>
              <w:b/>
              <w:bCs/>
              <w:caps/>
              <w:color w:val="000000"/>
              <w:szCs w:val="24"/>
            </w:rPr>
          </w:pPr>
          <w:r>
            <w:rPr>
              <w:b/>
              <w:bCs/>
              <w:caps/>
              <w:color w:val="000000"/>
              <w:szCs w:val="24"/>
            </w:rPr>
            <w:t xml:space="preserve">DĖL </w:t>
          </w:r>
          <w:r>
            <w:rPr>
              <w:b/>
              <w:szCs w:val="24"/>
            </w:rPr>
            <w:t xml:space="preserve">LIETUVOS RESPUBLIKOS </w:t>
          </w:r>
          <w:r>
            <w:rPr>
              <w:b/>
              <w:bCs/>
              <w:caps/>
              <w:color w:val="000000"/>
              <w:szCs w:val="24"/>
            </w:rPr>
            <w:t>ENERGETIKOS MINISTRO 2017 m. vasario 22 d. ĮSAKYMO Nr. 1-46 „</w:t>
          </w:r>
          <w:r>
            <w:rPr>
              <w:b/>
              <w:caps/>
              <w:szCs w:val="24"/>
            </w:rPr>
            <w:t xml:space="preserve">DĖL ĮMONIŲ, KURIOS NĖRA SMULKIOJO IR </w:t>
          </w:r>
          <w:r>
            <w:rPr>
              <w:b/>
              <w:caps/>
              <w:szCs w:val="24"/>
            </w:rPr>
            <w:t>VIDUTINIO VERSLO SUBJEKTAI, ENERGIJOS VARTOJIMO AUDITO ATLIKIMO IR ATASKAITŲ TEIKIMO PRIEŽIŪROS TVARKOS APRAŠO PATVIRTINIMO</w:t>
          </w:r>
          <w:r>
            <w:rPr>
              <w:b/>
              <w:bCs/>
              <w:caps/>
              <w:color w:val="000000"/>
              <w:szCs w:val="24"/>
            </w:rPr>
            <w:t>“ pakeitimo</w:t>
          </w:r>
        </w:p>
        <w:p w14:paraId="3ACB799F" w14:textId="77777777" w:rsidR="00802E53" w:rsidRDefault="00802E53">
          <w:pPr>
            <w:widowControl w:val="0"/>
            <w:jc w:val="center"/>
            <w:textAlignment w:val="center"/>
            <w:rPr>
              <w:color w:val="000000"/>
              <w:szCs w:val="24"/>
            </w:rPr>
          </w:pPr>
        </w:p>
        <w:p w14:paraId="3ACB79A0" w14:textId="77777777" w:rsidR="00802E53" w:rsidRDefault="00EC6C1B">
          <w:pPr>
            <w:widowControl w:val="0"/>
            <w:jc w:val="center"/>
            <w:textAlignment w:val="center"/>
            <w:rPr>
              <w:color w:val="000000"/>
              <w:szCs w:val="24"/>
            </w:rPr>
          </w:pPr>
          <w:r>
            <w:rPr>
              <w:color w:val="000000"/>
              <w:szCs w:val="24"/>
            </w:rPr>
            <w:t>2019 m. balandžio 26 d. Nr. 1-130</w:t>
          </w:r>
        </w:p>
        <w:p w14:paraId="3ACB79A1" w14:textId="77777777" w:rsidR="00802E53" w:rsidRDefault="00EC6C1B">
          <w:pPr>
            <w:widowControl w:val="0"/>
            <w:jc w:val="center"/>
            <w:textAlignment w:val="center"/>
            <w:rPr>
              <w:color w:val="000000"/>
              <w:szCs w:val="24"/>
            </w:rPr>
          </w:pPr>
          <w:r>
            <w:rPr>
              <w:color w:val="000000"/>
              <w:szCs w:val="24"/>
            </w:rPr>
            <w:t>Vilnius</w:t>
          </w:r>
        </w:p>
        <w:p w14:paraId="3ACB79A2" w14:textId="77777777" w:rsidR="00802E53" w:rsidRDefault="00802E53">
          <w:pPr>
            <w:widowControl w:val="0"/>
            <w:jc w:val="center"/>
            <w:textAlignment w:val="center"/>
            <w:rPr>
              <w:color w:val="000000"/>
              <w:szCs w:val="24"/>
            </w:rPr>
          </w:pPr>
        </w:p>
        <w:p w14:paraId="3ACB79A3" w14:textId="77777777" w:rsidR="00802E53" w:rsidRDefault="00802E53">
          <w:pPr>
            <w:widowControl w:val="0"/>
            <w:jc w:val="center"/>
            <w:textAlignment w:val="center"/>
            <w:rPr>
              <w:color w:val="000000"/>
              <w:szCs w:val="24"/>
            </w:rPr>
          </w:pPr>
        </w:p>
        <w:sdt>
          <w:sdtPr>
            <w:alias w:val="1 p."/>
            <w:tag w:val="part_24dd0f89c1cf4cd99e95666d386b4d08"/>
            <w:id w:val="-1457941375"/>
            <w:lock w:val="sdtLocked"/>
          </w:sdtPr>
          <w:sdtEndPr/>
          <w:sdtContent>
            <w:p w14:paraId="3ACB79A4" w14:textId="77777777" w:rsidR="00802E53" w:rsidRDefault="00EC6C1B">
              <w:pPr>
                <w:widowControl w:val="0"/>
                <w:ind w:firstLine="720"/>
                <w:jc w:val="both"/>
                <w:rPr>
                  <w:rFonts w:eastAsia="Calibri"/>
                  <w:color w:val="000000"/>
                  <w:szCs w:val="24"/>
                  <w:lang w:eastAsia="lt-LT"/>
                </w:rPr>
              </w:pPr>
              <w:sdt>
                <w:sdtPr>
                  <w:alias w:val="Numeris"/>
                  <w:tag w:val="nr_24dd0f89c1cf4cd99e95666d386b4d08"/>
                  <w:id w:val="1294802565"/>
                  <w:lock w:val="sdtLocked"/>
                </w:sdtPr>
                <w:sdtEndPr/>
                <w:sdtContent>
                  <w:r>
                    <w:rPr>
                      <w:rFonts w:eastAsia="Calibri"/>
                      <w:color w:val="000000"/>
                      <w:szCs w:val="24"/>
                      <w:lang w:eastAsia="lt-LT"/>
                    </w:rPr>
                    <w:t>1</w:t>
                  </w:r>
                </w:sdtContent>
              </w:sdt>
              <w:r>
                <w:rPr>
                  <w:rFonts w:eastAsia="Calibri"/>
                  <w:color w:val="000000"/>
                  <w:szCs w:val="24"/>
                  <w:lang w:eastAsia="lt-LT"/>
                </w:rPr>
                <w:t>. </w:t>
              </w:r>
              <w:r>
                <w:rPr>
                  <w:rFonts w:eastAsia="Calibri"/>
                  <w:color w:val="000000"/>
                  <w:spacing w:val="56"/>
                  <w:szCs w:val="24"/>
                  <w:lang w:eastAsia="lt-LT"/>
                </w:rPr>
                <w:t>Pakeiči</w:t>
              </w:r>
              <w:r>
                <w:rPr>
                  <w:rFonts w:eastAsia="Calibri"/>
                  <w:color w:val="000000"/>
                  <w:szCs w:val="24"/>
                  <w:lang w:eastAsia="lt-LT"/>
                </w:rPr>
                <w:t xml:space="preserve">u </w:t>
              </w:r>
              <w:r>
                <w:rPr>
                  <w:szCs w:val="24"/>
                </w:rPr>
                <w:t xml:space="preserve">Įmonių, kurios nėra smulkiojo ir vidutinio verslo subjektai, </w:t>
              </w:r>
              <w:r>
                <w:rPr>
                  <w:szCs w:val="24"/>
                </w:rPr>
                <w:t>energijos vartojimo audito atlikimo ir ataskaitų teikimo priežiūros tvarkos aprašo</w:t>
              </w:r>
              <w:r>
                <w:rPr>
                  <w:rFonts w:eastAsia="Calibri"/>
                  <w:color w:val="000000"/>
                  <w:szCs w:val="24"/>
                  <w:lang w:eastAsia="lt-LT"/>
                </w:rPr>
                <w:t>, patvirtinto Lietuvos Respublikos energetikos ministro 2017 m. vasario 22 d. įsakymu Nr. 1-46 „</w:t>
              </w:r>
              <w:r>
                <w:rPr>
                  <w:szCs w:val="24"/>
                </w:rPr>
                <w:t>Dėl Įmonių, kurios nėra smulkiojo ir vidutinio verslo subjektai, energijos var</w:t>
              </w:r>
              <w:r>
                <w:rPr>
                  <w:szCs w:val="24"/>
                </w:rPr>
                <w:t>tojimo audito atlikimo ir ataskaitų teikimo priežiūros tvarkos aprašo patvirtinimo</w:t>
              </w:r>
              <w:r>
                <w:rPr>
                  <w:rFonts w:eastAsia="Calibri"/>
                  <w:color w:val="000000"/>
                  <w:szCs w:val="24"/>
                  <w:lang w:eastAsia="lt-LT"/>
                </w:rPr>
                <w:t>“, 16 punktą ir jį išdėstau taip:</w:t>
              </w:r>
            </w:p>
            <w:sdt>
              <w:sdtPr>
                <w:alias w:val="citata"/>
                <w:tag w:val="part_dfbb82fab3444a70a8c2c8a74ffa2878"/>
                <w:id w:val="-1310866592"/>
                <w:lock w:val="sdtLocked"/>
              </w:sdtPr>
              <w:sdtEndPr/>
              <w:sdtContent>
                <w:sdt>
                  <w:sdtPr>
                    <w:alias w:val="16 p."/>
                    <w:tag w:val="part_e4f743bb2b22499891fd5486c9703486"/>
                    <w:id w:val="1242985053"/>
                    <w:lock w:val="sdtLocked"/>
                  </w:sdtPr>
                  <w:sdtEndPr/>
                  <w:sdtContent>
                    <w:p w14:paraId="3ACB79A5" w14:textId="77777777" w:rsidR="00802E53" w:rsidRDefault="00EC6C1B">
                      <w:pPr>
                        <w:ind w:firstLine="720"/>
                        <w:jc w:val="both"/>
                        <w:rPr>
                          <w:color w:val="000000"/>
                          <w:sz w:val="23"/>
                          <w:szCs w:val="23"/>
                          <w:shd w:val="clear" w:color="auto" w:fill="FFFFFF"/>
                        </w:rPr>
                      </w:pPr>
                      <w:r>
                        <w:rPr>
                          <w:rFonts w:eastAsia="Calibri"/>
                          <w:color w:val="000000"/>
                          <w:szCs w:val="24"/>
                          <w:lang w:eastAsia="lt-LT"/>
                        </w:rPr>
                        <w:t>„</w:t>
                      </w:r>
                      <w:sdt>
                        <w:sdtPr>
                          <w:alias w:val="Numeris"/>
                          <w:tag w:val="nr_e4f743bb2b22499891fd5486c9703486"/>
                          <w:id w:val="828408705"/>
                          <w:lock w:val="sdtLocked"/>
                        </w:sdtPr>
                        <w:sdtEndPr/>
                        <w:sdtContent>
                          <w:r>
                            <w:rPr>
                              <w:rFonts w:eastAsia="Calibri"/>
                              <w:color w:val="000000"/>
                              <w:szCs w:val="24"/>
                              <w:lang w:eastAsia="lt-LT"/>
                            </w:rPr>
                            <w:t>16</w:t>
                          </w:r>
                        </w:sdtContent>
                      </w:sdt>
                      <w:r>
                        <w:rPr>
                          <w:rFonts w:eastAsia="Calibri"/>
                          <w:color w:val="000000"/>
                          <w:szCs w:val="24"/>
                          <w:lang w:eastAsia="lt-LT"/>
                        </w:rPr>
                        <w:t>. Audito metu turi būti analizuojama ne mažiau kaip 90 proc. visų Didelei įmonei nuosavybės teise priklausančių pastatų, įrenginių, tec</w:t>
                      </w:r>
                      <w:r>
                        <w:rPr>
                          <w:rFonts w:eastAsia="Calibri"/>
                          <w:color w:val="000000"/>
                          <w:szCs w:val="24"/>
                          <w:lang w:eastAsia="lt-LT"/>
                        </w:rPr>
                        <w:t>hnologinių procesų ir Transporto priemonių, neatsiejamų nuo Didelės įmonės veiklos bei būtinų šiai veiklai vykdyti, energijos sąnaudų, jei jos yra pakankamos energijos vartojimo efektyvumo rodikliams įvertinti ir sudaro galimybes patikimai nustatyti energi</w:t>
                      </w:r>
                      <w:r>
                        <w:rPr>
                          <w:rFonts w:eastAsia="Calibri"/>
                          <w:color w:val="000000"/>
                          <w:szCs w:val="24"/>
                          <w:lang w:eastAsia="lt-LT"/>
                        </w:rPr>
                        <w:t>jos vartojimo efektyvumą didinančias priemones</w:t>
                      </w:r>
                      <w:r>
                        <w:rPr>
                          <w:color w:val="000000"/>
                          <w:sz w:val="23"/>
                          <w:szCs w:val="23"/>
                          <w:shd w:val="clear" w:color="auto" w:fill="FFFFFF"/>
                        </w:rPr>
                        <w:t>.“</w:t>
                      </w:r>
                    </w:p>
                  </w:sdtContent>
                </w:sdt>
              </w:sdtContent>
            </w:sdt>
          </w:sdtContent>
        </w:sdt>
        <w:sdt>
          <w:sdtPr>
            <w:alias w:val="2 p."/>
            <w:tag w:val="part_d21e0d4175844742a88b14a49e82c457"/>
            <w:id w:val="-1608266381"/>
            <w:lock w:val="sdtLocked"/>
          </w:sdtPr>
          <w:sdtEndPr/>
          <w:sdtContent>
            <w:p w14:paraId="3ACB79A9" w14:textId="12F34F83" w:rsidR="00802E53" w:rsidRDefault="00EC6C1B" w:rsidP="00EC6C1B">
              <w:pPr>
                <w:ind w:firstLine="720"/>
                <w:jc w:val="both"/>
              </w:pPr>
              <w:sdt>
                <w:sdtPr>
                  <w:alias w:val="Numeris"/>
                  <w:tag w:val="nr_d21e0d4175844742a88b14a49e82c457"/>
                  <w:id w:val="-2087057585"/>
                  <w:lock w:val="sdtLocked"/>
                </w:sdtPr>
                <w:sdtEndPr/>
                <w:sdtContent>
                  <w:r>
                    <w:rPr>
                      <w:rFonts w:eastAsia="Calibri"/>
                      <w:color w:val="000000"/>
                      <w:szCs w:val="24"/>
                      <w:lang w:eastAsia="lt-LT"/>
                    </w:rPr>
                    <w:t>2</w:t>
                  </w:r>
                </w:sdtContent>
              </w:sdt>
              <w:r>
                <w:rPr>
                  <w:rFonts w:eastAsia="Calibri"/>
                  <w:color w:val="000000"/>
                  <w:szCs w:val="24"/>
                  <w:lang w:eastAsia="lt-LT"/>
                </w:rPr>
                <w:t>. </w:t>
              </w:r>
              <w:r>
                <w:rPr>
                  <w:rFonts w:eastAsia="Calibri"/>
                  <w:color w:val="000000"/>
                  <w:spacing w:val="56"/>
                  <w:szCs w:val="24"/>
                  <w:lang w:eastAsia="lt-LT"/>
                </w:rPr>
                <w:t>Nustata</w:t>
              </w:r>
              <w:r>
                <w:rPr>
                  <w:szCs w:val="24"/>
                </w:rPr>
                <w:t>u, kad šis įsakymas įsigalioja 2019 m. liepos 1 d.</w:t>
              </w:r>
            </w:p>
          </w:sdtContent>
        </w:sdt>
        <w:sdt>
          <w:sdtPr>
            <w:alias w:val="signatura"/>
            <w:tag w:val="part_4bbd6463a5894225984060ba98a2ca02"/>
            <w:id w:val="549037386"/>
            <w:lock w:val="sdtLocked"/>
          </w:sdtPr>
          <w:sdtEndPr/>
          <w:sdtContent>
            <w:bookmarkStart w:id="0" w:name="_GoBack" w:displacedByCustomXml="prev"/>
            <w:p w14:paraId="2C2E00AA" w14:textId="77777777" w:rsidR="00EC6C1B" w:rsidRDefault="00EC6C1B">
              <w:pPr>
                <w:jc w:val="both"/>
              </w:pPr>
            </w:p>
            <w:p w14:paraId="4AF94EDD" w14:textId="77777777" w:rsidR="00EC6C1B" w:rsidRDefault="00EC6C1B">
              <w:pPr>
                <w:jc w:val="both"/>
              </w:pPr>
            </w:p>
            <w:p w14:paraId="6A4B05EB" w14:textId="77777777" w:rsidR="00EC6C1B" w:rsidRDefault="00EC6C1B">
              <w:pPr>
                <w:jc w:val="both"/>
              </w:pPr>
            </w:p>
            <w:p w14:paraId="3ACB79AA" w14:textId="7BDC3C11" w:rsidR="00802E53" w:rsidRDefault="00EC6C1B">
              <w:pPr>
                <w:jc w:val="both"/>
              </w:pPr>
              <w:r>
                <w:t>Energetikos ministras</w:t>
              </w:r>
              <w:r>
                <w:tab/>
              </w:r>
              <w:r>
                <w:tab/>
              </w:r>
              <w:r>
                <w:tab/>
              </w:r>
              <w:r>
                <w:tab/>
                <w:t>Žygimantas Vaičiūnas</w:t>
              </w:r>
            </w:p>
            <w:bookmarkEnd w:id="0" w:displacedByCustomXml="next"/>
          </w:sdtContent>
        </w:sdt>
      </w:sdtContent>
    </w:sdt>
    <w:sectPr w:rsidR="00802E53" w:rsidSect="00EC6C1B">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CB79B0" w14:textId="77777777" w:rsidR="00802E53" w:rsidRDefault="00EC6C1B">
      <w:pPr>
        <w:rPr>
          <w:rFonts w:ascii="Calibri" w:eastAsia="Calibri" w:hAnsi="Calibri"/>
          <w:sz w:val="22"/>
          <w:szCs w:val="22"/>
        </w:rPr>
      </w:pPr>
      <w:r>
        <w:rPr>
          <w:rFonts w:ascii="Calibri" w:eastAsia="Calibri" w:hAnsi="Calibri"/>
          <w:sz w:val="22"/>
          <w:szCs w:val="22"/>
        </w:rPr>
        <w:separator/>
      </w:r>
    </w:p>
  </w:endnote>
  <w:endnote w:type="continuationSeparator" w:id="0">
    <w:p w14:paraId="3ACB79B1" w14:textId="77777777" w:rsidR="00802E53" w:rsidRDefault="00EC6C1B">
      <w:pPr>
        <w:rPr>
          <w:rFonts w:ascii="Calibri" w:eastAsia="Calibri" w:hAnsi="Calibri"/>
          <w:sz w:val="22"/>
          <w:szCs w:val="22"/>
        </w:rPr>
      </w:pPr>
      <w:r>
        <w:rPr>
          <w:rFonts w:ascii="Calibri" w:eastAsia="Calibri" w:hAnsi="Calibri"/>
          <w:sz w:val="22"/>
          <w:szCs w:val="22"/>
        </w:rPr>
        <w:continuationSeparator/>
      </w:r>
    </w:p>
  </w:endnote>
  <w:endnote w:type="continuationNotice" w:id="1">
    <w:p w14:paraId="3ACB79B2" w14:textId="77777777" w:rsidR="00802E53" w:rsidRDefault="00802E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5" w14:textId="77777777" w:rsidR="00802E53" w:rsidRDefault="00802E53">
    <w:pPr>
      <w:tabs>
        <w:tab w:val="center" w:pos="4819"/>
        <w:tab w:val="right" w:pos="9638"/>
      </w:tabs>
      <w:spacing w:after="200" w:line="276"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6" w14:textId="77777777" w:rsidR="00802E53" w:rsidRDefault="00802E5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8" w14:textId="77777777" w:rsidR="00802E53" w:rsidRDefault="00802E5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B79AD" w14:textId="77777777" w:rsidR="00802E53" w:rsidRDefault="00EC6C1B">
      <w:pPr>
        <w:rPr>
          <w:rFonts w:ascii="Calibri" w:eastAsia="Calibri" w:hAnsi="Calibri"/>
          <w:sz w:val="22"/>
          <w:szCs w:val="22"/>
        </w:rPr>
      </w:pPr>
      <w:r>
        <w:rPr>
          <w:rFonts w:ascii="Calibri" w:eastAsia="Calibri" w:hAnsi="Calibri"/>
          <w:sz w:val="22"/>
          <w:szCs w:val="22"/>
        </w:rPr>
        <w:separator/>
      </w:r>
    </w:p>
  </w:footnote>
  <w:footnote w:type="continuationSeparator" w:id="0">
    <w:p w14:paraId="3ACB79AE" w14:textId="77777777" w:rsidR="00802E53" w:rsidRDefault="00EC6C1B">
      <w:pPr>
        <w:rPr>
          <w:rFonts w:ascii="Calibri" w:eastAsia="Calibri" w:hAnsi="Calibri"/>
          <w:sz w:val="22"/>
          <w:szCs w:val="22"/>
        </w:rPr>
      </w:pPr>
      <w:r>
        <w:rPr>
          <w:rFonts w:ascii="Calibri" w:eastAsia="Calibri" w:hAnsi="Calibri"/>
          <w:sz w:val="22"/>
          <w:szCs w:val="22"/>
        </w:rPr>
        <w:continuationSeparator/>
      </w:r>
    </w:p>
  </w:footnote>
  <w:footnote w:type="continuationNotice" w:id="1">
    <w:p w14:paraId="3ACB79AF" w14:textId="77777777" w:rsidR="00802E53" w:rsidRDefault="00802E5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3" w14:textId="77777777" w:rsidR="00802E53" w:rsidRDefault="00802E53">
    <w:pPr>
      <w:tabs>
        <w:tab w:val="center" w:pos="4819"/>
        <w:tab w:val="right" w:pos="9638"/>
      </w:tabs>
      <w:spacing w:after="200" w:line="276"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4" w14:textId="77777777" w:rsidR="00802E53" w:rsidRDefault="00EC6C1B">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B79B7" w14:textId="77777777" w:rsidR="00802E53" w:rsidRDefault="00802E5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 w:val="00802E53"/>
    <w:rsid w:val="00A54DB7"/>
    <w:rsid w:val="00EC6C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ACB7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48834">
      <w:bodyDiv w:val="1"/>
      <w:marLeft w:val="0"/>
      <w:marRight w:val="0"/>
      <w:marTop w:val="0"/>
      <w:marBottom w:val="0"/>
      <w:divBdr>
        <w:top w:val="none" w:sz="0" w:space="0" w:color="auto"/>
        <w:left w:val="none" w:sz="0" w:space="0" w:color="auto"/>
        <w:bottom w:val="none" w:sz="0" w:space="0" w:color="auto"/>
        <w:right w:val="none" w:sz="0" w:space="0" w:color="auto"/>
      </w:divBdr>
      <w:divsChild>
        <w:div w:id="789401072">
          <w:marLeft w:val="0"/>
          <w:marRight w:val="0"/>
          <w:marTop w:val="0"/>
          <w:marBottom w:val="0"/>
          <w:divBdr>
            <w:top w:val="none" w:sz="0" w:space="0" w:color="auto"/>
            <w:left w:val="none" w:sz="0" w:space="0" w:color="auto"/>
            <w:bottom w:val="none" w:sz="0" w:space="0" w:color="auto"/>
            <w:right w:val="none" w:sz="0" w:space="0" w:color="auto"/>
          </w:divBdr>
          <w:divsChild>
            <w:div w:id="1383477773">
              <w:marLeft w:val="0"/>
              <w:marRight w:val="0"/>
              <w:marTop w:val="0"/>
              <w:marBottom w:val="0"/>
              <w:divBdr>
                <w:top w:val="none" w:sz="0" w:space="0" w:color="auto"/>
                <w:left w:val="none" w:sz="0" w:space="0" w:color="auto"/>
                <w:bottom w:val="none" w:sz="0" w:space="0" w:color="auto"/>
                <w:right w:val="none" w:sz="0" w:space="0" w:color="auto"/>
              </w:divBdr>
              <w:divsChild>
                <w:div w:id="1740472141">
                  <w:marLeft w:val="0"/>
                  <w:marRight w:val="0"/>
                  <w:marTop w:val="0"/>
                  <w:marBottom w:val="0"/>
                  <w:divBdr>
                    <w:top w:val="none" w:sz="0" w:space="0" w:color="auto"/>
                    <w:left w:val="none" w:sz="0" w:space="0" w:color="auto"/>
                    <w:bottom w:val="none" w:sz="0" w:space="0" w:color="auto"/>
                    <w:right w:val="none" w:sz="0" w:space="0" w:color="auto"/>
                  </w:divBdr>
                  <w:divsChild>
                    <w:div w:id="1739404464">
                      <w:marLeft w:val="0"/>
                      <w:marRight w:val="0"/>
                      <w:marTop w:val="0"/>
                      <w:marBottom w:val="0"/>
                      <w:divBdr>
                        <w:top w:val="none" w:sz="0" w:space="0" w:color="auto"/>
                        <w:left w:val="none" w:sz="0" w:space="0" w:color="auto"/>
                        <w:bottom w:val="none" w:sz="0" w:space="0" w:color="auto"/>
                        <w:right w:val="none" w:sz="0" w:space="0" w:color="auto"/>
                      </w:divBdr>
                      <w:divsChild>
                        <w:div w:id="164404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945236241">
      <w:bodyDiv w:val="1"/>
      <w:marLeft w:val="0"/>
      <w:marRight w:val="0"/>
      <w:marTop w:val="0"/>
      <w:marBottom w:val="0"/>
      <w:divBdr>
        <w:top w:val="none" w:sz="0" w:space="0" w:color="auto"/>
        <w:left w:val="none" w:sz="0" w:space="0" w:color="auto"/>
        <w:bottom w:val="none" w:sz="0" w:space="0" w:color="auto"/>
        <w:right w:val="none" w:sz="0" w:space="0" w:color="auto"/>
      </w:divBdr>
      <w:divsChild>
        <w:div w:id="955646440">
          <w:marLeft w:val="0"/>
          <w:marRight w:val="0"/>
          <w:marTop w:val="0"/>
          <w:marBottom w:val="0"/>
          <w:divBdr>
            <w:top w:val="none" w:sz="0" w:space="0" w:color="auto"/>
            <w:left w:val="none" w:sz="0" w:space="0" w:color="auto"/>
            <w:bottom w:val="none" w:sz="0" w:space="0" w:color="auto"/>
            <w:right w:val="none" w:sz="0" w:space="0" w:color="auto"/>
          </w:divBdr>
          <w:divsChild>
            <w:div w:id="1475180127">
              <w:marLeft w:val="0"/>
              <w:marRight w:val="0"/>
              <w:marTop w:val="0"/>
              <w:marBottom w:val="0"/>
              <w:divBdr>
                <w:top w:val="none" w:sz="0" w:space="0" w:color="auto"/>
                <w:left w:val="none" w:sz="0" w:space="0" w:color="auto"/>
                <w:bottom w:val="none" w:sz="0" w:space="0" w:color="auto"/>
                <w:right w:val="none" w:sz="0" w:space="0" w:color="auto"/>
              </w:divBdr>
              <w:divsChild>
                <w:div w:id="1499923555">
                  <w:marLeft w:val="0"/>
                  <w:marRight w:val="0"/>
                  <w:marTop w:val="0"/>
                  <w:marBottom w:val="0"/>
                  <w:divBdr>
                    <w:top w:val="none" w:sz="0" w:space="0" w:color="auto"/>
                    <w:left w:val="none" w:sz="0" w:space="0" w:color="auto"/>
                    <w:bottom w:val="none" w:sz="0" w:space="0" w:color="auto"/>
                    <w:right w:val="none" w:sz="0" w:space="0" w:color="auto"/>
                  </w:divBdr>
                  <w:divsChild>
                    <w:div w:id="1086226113">
                      <w:marLeft w:val="0"/>
                      <w:marRight w:val="0"/>
                      <w:marTop w:val="0"/>
                      <w:marBottom w:val="0"/>
                      <w:divBdr>
                        <w:top w:val="none" w:sz="0" w:space="0" w:color="auto"/>
                        <w:left w:val="none" w:sz="0" w:space="0" w:color="auto"/>
                        <w:bottom w:val="none" w:sz="0" w:space="0" w:color="auto"/>
                        <w:right w:val="none" w:sz="0" w:space="0" w:color="auto"/>
                      </w:divBdr>
                      <w:divsChild>
                        <w:div w:id="120482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969282175">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7f40943d3044d02a566fec4a811e91d" PartId="5bd9bcb748274a7d859293e1f555b064">
    <Part Type="punktas" Nr="1" Abbr="1 p." DocPartId="08a3a1b12abc44e4863ff003ba55dbe1" PartId="24dd0f89c1cf4cd99e95666d386b4d08">
      <Part Type="citata" DocPartId="850965d6777945b79d7948b3981c27e7" PartId="dfbb82fab3444a70a8c2c8a74ffa2878">
        <Part Type="punktas" Nr="16" Abbr="16 p." DocPartId="047ef85d3e6643c0a261952b5deb7b59" PartId="e4f743bb2b22499891fd5486c9703486"/>
      </Part>
    </Part>
    <Part Type="punktas" Nr="2" Abbr="2 p." DocPartId="a0d6f4d12a68419d9f7c5fa6012e9440" PartId="d21e0d4175844742a88b14a49e82c457"/>
    <Part Type="signatura" DocPartId="04835d21568843379aaf1b728eaa9f32" PartId="4bbd6463a5894225984060ba98a2ca0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E8F51-9422-4325-9FCC-EDAA90B60BA6}">
  <ds:schemaRefs>
    <ds:schemaRef ds:uri="http://lrs.lt/TAIS/DocParts"/>
  </ds:schemaRefs>
</ds:datastoreItem>
</file>

<file path=customXml/itemProps2.xml><?xml version="1.0" encoding="utf-8"?>
<ds:datastoreItem xmlns:ds="http://schemas.openxmlformats.org/officeDocument/2006/customXml" ds:itemID="{51048118-DD26-4BE1-8417-B3BAC72D2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875</Words>
  <Characters>499</Characters>
  <Application>Microsoft Office Word</Application>
  <DocSecurity>0</DocSecurity>
  <Lines>4</Lines>
  <Paragraphs>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1372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ŠAULYTĖ SKAIRIENĖ Dalia</dc:creator>
  <cp:lastModifiedBy>KUČIAUSKIENĖ Simona</cp:lastModifiedBy>
  <cp:revision>3</cp:revision>
  <cp:lastPrinted>2018-06-14T08:12:00Z</cp:lastPrinted>
  <dcterms:created xsi:type="dcterms:W3CDTF">2019-04-30T04:53:00Z</dcterms:created>
  <dcterms:modified xsi:type="dcterms:W3CDTF">2019-04-30T05:39:00Z</dcterms:modified>
</cp:coreProperties>
</file>