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0B7E7" w14:textId="77777777" w:rsidR="000B32D3" w:rsidRDefault="000B32D3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230B7E8" w14:textId="77777777" w:rsidR="000B32D3" w:rsidRDefault="007C5054">
      <w:pPr>
        <w:jc w:val="center"/>
        <w:rPr>
          <w:caps/>
          <w:sz w:val="22"/>
        </w:rPr>
      </w:pPr>
      <w:r>
        <w:rPr>
          <w:caps/>
          <w:noProof/>
          <w:lang w:eastAsia="lt-LT"/>
        </w:rPr>
        <w:drawing>
          <wp:inline distT="0" distB="0" distL="0" distR="0" wp14:anchorId="7230B817" wp14:editId="7230B818">
            <wp:extent cx="596265" cy="699770"/>
            <wp:effectExtent l="0" t="0" r="0" b="5080"/>
            <wp:docPr id="1" name="Paveikslėlis 1" descr="C:\Documents and Settings\lipetr\My Documents\Vyt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petr\My Documents\Vyt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0B7E9" w14:textId="77777777" w:rsidR="000B32D3" w:rsidRDefault="000B32D3">
      <w:pPr>
        <w:jc w:val="center"/>
        <w:rPr>
          <w:caps/>
          <w:sz w:val="12"/>
          <w:szCs w:val="12"/>
        </w:rPr>
      </w:pPr>
    </w:p>
    <w:p w14:paraId="7230B7EA" w14:textId="77777777" w:rsidR="000B32D3" w:rsidRDefault="007C5054">
      <w:pPr>
        <w:jc w:val="center"/>
        <w:rPr>
          <w:b/>
          <w:bCs/>
          <w:caps/>
        </w:rPr>
      </w:pPr>
      <w:r>
        <w:rPr>
          <w:b/>
          <w:bCs/>
          <w:caps/>
        </w:rPr>
        <w:t>LIETUVOS RESPUBLIKOS</w:t>
      </w:r>
    </w:p>
    <w:p w14:paraId="7230B7EB" w14:textId="77777777" w:rsidR="000B32D3" w:rsidRDefault="007C5054">
      <w:pPr>
        <w:jc w:val="center"/>
        <w:rPr>
          <w:b/>
          <w:caps/>
        </w:rPr>
      </w:pPr>
      <w:r>
        <w:rPr>
          <w:b/>
          <w:caps/>
        </w:rPr>
        <w:t>BAUDŽIAMOJO PROCESO KODEKSO 21, 22, 44, 188, 189, 272 STRAIPSNIŲ IR PRIEDO PAKEITIMO</w:t>
      </w:r>
    </w:p>
    <w:p w14:paraId="7230B7EC" w14:textId="77777777" w:rsidR="000B32D3" w:rsidRDefault="007C5054">
      <w:pPr>
        <w:jc w:val="center"/>
        <w:rPr>
          <w:caps/>
        </w:rPr>
      </w:pPr>
      <w:r>
        <w:rPr>
          <w:b/>
          <w:caps/>
        </w:rPr>
        <w:t>ĮSTATYMAS</w:t>
      </w:r>
    </w:p>
    <w:p w14:paraId="7230B7ED" w14:textId="77777777" w:rsidR="000B32D3" w:rsidRDefault="000B32D3">
      <w:pPr>
        <w:jc w:val="center"/>
        <w:rPr>
          <w:b/>
          <w:caps/>
        </w:rPr>
      </w:pPr>
    </w:p>
    <w:p w14:paraId="7230B7EE" w14:textId="77777777" w:rsidR="000B32D3" w:rsidRDefault="007C5054">
      <w:pPr>
        <w:jc w:val="center"/>
        <w:rPr>
          <w:szCs w:val="24"/>
        </w:rPr>
      </w:pPr>
      <w:r>
        <w:rPr>
          <w:szCs w:val="24"/>
        </w:rPr>
        <w:t>2018 m. birželio 30 d. Nr. XIII-1436</w:t>
      </w:r>
    </w:p>
    <w:p w14:paraId="7230B7EF" w14:textId="77777777" w:rsidR="000B32D3" w:rsidRDefault="007C5054">
      <w:pPr>
        <w:jc w:val="center"/>
        <w:rPr>
          <w:szCs w:val="24"/>
        </w:rPr>
      </w:pPr>
      <w:r>
        <w:rPr>
          <w:szCs w:val="24"/>
        </w:rPr>
        <w:t>Vilnius</w:t>
      </w:r>
    </w:p>
    <w:p w14:paraId="7230B7F0" w14:textId="77777777" w:rsidR="000B32D3" w:rsidRDefault="000B32D3">
      <w:pPr>
        <w:jc w:val="center"/>
        <w:rPr>
          <w:sz w:val="22"/>
        </w:rPr>
      </w:pPr>
    </w:p>
    <w:p w14:paraId="7230B7F1" w14:textId="77777777" w:rsidR="000B32D3" w:rsidRDefault="000B32D3">
      <w:pPr>
        <w:spacing w:line="360" w:lineRule="auto"/>
        <w:ind w:firstLine="720"/>
        <w:jc w:val="both"/>
        <w:rPr>
          <w:sz w:val="16"/>
          <w:szCs w:val="16"/>
        </w:rPr>
      </w:pPr>
    </w:p>
    <w:p w14:paraId="7230B7F2" w14:textId="77777777" w:rsidR="000B32D3" w:rsidRDefault="000B32D3">
      <w:pPr>
        <w:spacing w:line="360" w:lineRule="auto"/>
        <w:ind w:firstLine="720"/>
        <w:jc w:val="both"/>
        <w:sectPr w:rsidR="000B32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851" w:bottom="1134" w:left="1701" w:header="706" w:footer="706" w:gutter="0"/>
          <w:cols w:space="1296"/>
          <w:titlePg/>
        </w:sectPr>
      </w:pPr>
    </w:p>
    <w:p w14:paraId="7230B7F3" w14:textId="77777777" w:rsidR="000B32D3" w:rsidRDefault="000B32D3">
      <w:pPr>
        <w:tabs>
          <w:tab w:val="center" w:pos="4153"/>
          <w:tab w:val="right" w:pos="8306"/>
        </w:tabs>
        <w:rPr>
          <w:rFonts w:ascii="TimesLT" w:hAnsi="TimesLT"/>
          <w:lang w:val="en-US"/>
        </w:rPr>
      </w:pPr>
    </w:p>
    <w:p w14:paraId="7230B7F4" w14:textId="77777777" w:rsidR="000B32D3" w:rsidRDefault="007C5054"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1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21 straipsnio pakeitimas</w:t>
      </w:r>
    </w:p>
    <w:p w14:paraId="7230B7F5" w14:textId="77777777" w:rsidR="000B32D3" w:rsidRDefault="007C5054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Pakeisti 21 straipsnio 4 dalį ir ją išdėstyti taip:</w:t>
      </w:r>
    </w:p>
    <w:p w14:paraId="7230B7F6" w14:textId="77777777" w:rsidR="000B32D3" w:rsidRDefault="007C5054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. Įtariamasis turi teisę: žinoti, kuo jis įtariamas; nuo sulaikymo ar pirmosios apklausos momento turėti gynėją; gauti </w:t>
      </w:r>
      <w:r>
        <w:rPr>
          <w:color w:val="000000"/>
          <w:szCs w:val="24"/>
        </w:rPr>
        <w:t>vertimą žodžiu ir raštu; informuoti konsulines įstaigas ir vieną asmenį; gauti skubią medicinos pagalbą; žinoti maksimalų terminą, kiek valandų (dienų) gali būti ribojama jo laisvė iki bylos nagrinėjimo teisminėje institucijoje pradžios; duoti parodymus; t</w:t>
      </w:r>
      <w:r>
        <w:rPr>
          <w:color w:val="000000"/>
          <w:szCs w:val="24"/>
        </w:rPr>
        <w:t xml:space="preserve">ylėti ir (ar) atsisakyti duoti parodymus apie savo paties galimai padarytą nusikalstamą veiką; pateikti tyrimui reikšmingus dokumentus ir daiktus; pateikti prašymus; pareikšti nušalinimus; susipažinti su ikiteisminio tyrimo medžiaga; apskųsti ikiteisminio </w:t>
      </w:r>
      <w:r>
        <w:rPr>
          <w:color w:val="000000"/>
          <w:szCs w:val="24"/>
        </w:rPr>
        <w:t>tyrimo pareigūno, prokuroro ar ikiteisminio tyrimo teisėjo veiksmus bei sprendimus.“</w:t>
      </w:r>
    </w:p>
    <w:p w14:paraId="7230B7F7" w14:textId="77777777" w:rsidR="000B32D3" w:rsidRDefault="007C5054">
      <w:pPr>
        <w:spacing w:line="360" w:lineRule="auto"/>
        <w:ind w:firstLine="720"/>
        <w:jc w:val="both"/>
        <w:rPr>
          <w:color w:val="000000"/>
          <w:szCs w:val="24"/>
        </w:rPr>
      </w:pPr>
    </w:p>
    <w:p w14:paraId="7230B7F8" w14:textId="77777777" w:rsidR="000B32D3" w:rsidRDefault="007C5054"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2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22 straipsnio pakeitimas</w:t>
      </w:r>
    </w:p>
    <w:p w14:paraId="7230B7F9" w14:textId="77777777" w:rsidR="000B32D3" w:rsidRDefault="007C5054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Pakeisti 22 straipsnio 3 dalį ir ją išdėstyti taip:</w:t>
      </w:r>
    </w:p>
    <w:p w14:paraId="7230B7FA" w14:textId="77777777" w:rsidR="000B32D3" w:rsidRDefault="007C5054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3</w:t>
      </w:r>
      <w:r>
        <w:rPr>
          <w:color w:val="000000"/>
          <w:szCs w:val="24"/>
        </w:rPr>
        <w:t>. Kaltinamasis turi teisę: žinoti, kuo jis kaltinamas, ir gauti</w:t>
      </w:r>
      <w:r>
        <w:rPr>
          <w:color w:val="000000"/>
          <w:szCs w:val="24"/>
        </w:rPr>
        <w:t xml:space="preserve"> kaltinamojo akto nuorašą; susipažinti teisme su byla; nustatyta tvarka pasidaryti reikiamų dokumentų išrašus arba nuorašus; turėti gynėją; gauti vertimą žodžiu ir raštu; informuoti konsulines įstaigas ir vieną asmenį; gauti skubią medicinos pagalbą; patei</w:t>
      </w:r>
      <w:r>
        <w:rPr>
          <w:color w:val="000000"/>
          <w:szCs w:val="24"/>
        </w:rPr>
        <w:t>kti prašymus; pareikšti nušalinimus; teikti įrodymus ir dalyvauti juos tiriant; nagrinėjimo teisme metu duoti parodymus ir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užduoti klausimus; duoti paaiškinimus apie teismo tiriamas bylos aplinkybes ir pareikšti savo nuomonę dėl kitų nagrinėjimo teisme dal</w:t>
      </w:r>
      <w:r>
        <w:rPr>
          <w:color w:val="000000"/>
          <w:szCs w:val="24"/>
        </w:rPr>
        <w:t>yvių pareikštų prašymų; tylėti ir (ar) atsisakyti duoti parodymus apie savo paties galimai padarytą nusikalstamą veiką; dalyvauti baigiamosiose kalbose, kai nėra gynėjo; kreiptis į teismą paskutiniu žodžiu; apskųsti teismo nuosprendį ir nutartis.“</w:t>
      </w:r>
    </w:p>
    <w:p w14:paraId="7230B7FB" w14:textId="77777777" w:rsidR="000B32D3" w:rsidRDefault="007C5054">
      <w:pPr>
        <w:spacing w:line="360" w:lineRule="auto"/>
        <w:ind w:firstLine="720"/>
        <w:jc w:val="both"/>
        <w:rPr>
          <w:color w:val="000000"/>
          <w:szCs w:val="24"/>
        </w:rPr>
      </w:pPr>
    </w:p>
    <w:p w14:paraId="7230B7FC" w14:textId="77777777" w:rsidR="000B32D3" w:rsidRDefault="007C5054"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3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44 straipsnio pakeitimas</w:t>
      </w:r>
    </w:p>
    <w:p w14:paraId="7230B7FD" w14:textId="77777777" w:rsidR="000B32D3" w:rsidRDefault="007C5054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Pakeisti  44 straipsnį 6 dalį ir ją išdėstyti taip:</w:t>
      </w:r>
    </w:p>
    <w:p w14:paraId="7230B7FE" w14:textId="77777777" w:rsidR="000B32D3" w:rsidRDefault="007C5054"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6</w:t>
      </w:r>
      <w:r>
        <w:rPr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Kiekvienas nusikalstamos veikos padarymu įtariamas ar kaltinamas asmuo laikomas nekaltu tol, kol jo kaltumas neįrodytas šio Kodekso nustatyta tvarka ir ne</w:t>
      </w:r>
      <w:r>
        <w:rPr>
          <w:color w:val="000000"/>
          <w:szCs w:val="24"/>
        </w:rPr>
        <w:t>pripažintas įsiteisėjusiu teismo nuosprendžiu.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Visos abejonės ir (ar) neaiškumai dėl nusikalstamos veikos padarymu kaltinamo asmens kaltės ar kitų aplinkybių, turinčių reikšmės bylai išspręsti teisingai, kurių, išnaudojus visas proceso veiksmų galimybes, n</w:t>
      </w:r>
      <w:r>
        <w:rPr>
          <w:color w:val="000000"/>
          <w:szCs w:val="24"/>
        </w:rPr>
        <w:t>eįmanoma pašalinti baudžiamojo proceso metu, vertinami nusikalstamos veikos padarymu kaltinamo asmens naudai.“</w:t>
      </w:r>
    </w:p>
    <w:p w14:paraId="7230B7FF" w14:textId="77777777" w:rsidR="000B32D3" w:rsidRDefault="007C5054">
      <w:pPr>
        <w:spacing w:line="360" w:lineRule="auto"/>
        <w:ind w:firstLine="720"/>
        <w:jc w:val="both"/>
        <w:rPr>
          <w:color w:val="000000"/>
          <w:szCs w:val="24"/>
        </w:rPr>
      </w:pPr>
    </w:p>
    <w:p w14:paraId="7230B800" w14:textId="77777777" w:rsidR="000B32D3" w:rsidRDefault="007C5054"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188 straipsnio pakeitimas</w:t>
      </w:r>
    </w:p>
    <w:p w14:paraId="7230B801" w14:textId="77777777" w:rsidR="000B32D3" w:rsidRDefault="007C5054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 Pakeisti 188 straipsnio 3 dalį ir ją išdėstyti taip:</w:t>
      </w:r>
    </w:p>
    <w:p w14:paraId="7230B802" w14:textId="77777777" w:rsidR="000B32D3" w:rsidRDefault="007C5054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. Prieš pradėdamas įtariamojo </w:t>
      </w:r>
      <w:r>
        <w:rPr>
          <w:color w:val="000000"/>
          <w:szCs w:val="24"/>
        </w:rPr>
        <w:t xml:space="preserve">apklausą, ikiteisminio tyrimo pareigūnas, prokuroras ar </w:t>
      </w:r>
      <w:r>
        <w:rPr>
          <w:bCs/>
          <w:color w:val="000000"/>
          <w:szCs w:val="24"/>
        </w:rPr>
        <w:t>šio Kodekso nurodytais atvejais ikiteisminio tyrimo teisėjas</w:t>
      </w:r>
      <w:r>
        <w:rPr>
          <w:color w:val="000000"/>
          <w:szCs w:val="24"/>
        </w:rPr>
        <w:t xml:space="preserve"> išaiškina įtariamajam jo teisę tylėti ir (ar) atsisakyti duoti parodymus apie savo paties galimai padarytą nusikalstamą veiką.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Apklausos pr</w:t>
      </w:r>
      <w:r>
        <w:rPr>
          <w:color w:val="000000"/>
          <w:szCs w:val="24"/>
        </w:rPr>
        <w:t xml:space="preserve">adžioje įtariamojo paklausiama, ar jis prisipažįsta padaręs nusikalstamą veiką, kurios padarymu įtariamas. Po to pasiūloma duoti parodymus apie įtarimo esmę. Vėliau įtariamajam gali būti užduodami klausimai.“ </w:t>
      </w:r>
    </w:p>
    <w:p w14:paraId="7230B803" w14:textId="77777777" w:rsidR="000B32D3" w:rsidRDefault="007C5054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Pakeisti 188 straipsnio 4 dalį ir </w:t>
      </w:r>
      <w:r>
        <w:rPr>
          <w:color w:val="000000"/>
          <w:szCs w:val="24"/>
        </w:rPr>
        <w:t>ją išdėstyti taip:</w:t>
      </w:r>
    </w:p>
    <w:p w14:paraId="7230B804" w14:textId="77777777" w:rsidR="000B32D3" w:rsidRDefault="007C5054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. Įtariamojo apklausos protokolas surašomas laikantis šio Kodekso 179 straipsnyje nustatytų reikalavimų. Įtariamojo parodymai apklausos protokole užrašomi pirmuoju asmeniu ir kiek galima pažodžiui. Jeigu reikia, nurodomi įtariamajam </w:t>
      </w:r>
      <w:r>
        <w:rPr>
          <w:color w:val="000000"/>
          <w:szCs w:val="24"/>
        </w:rPr>
        <w:t>užduoti klausimai ir jo atsakymai. Jeigu apklausos metu įtariamasis pasinaudojo savo teise tylėti ir (ar) atsisakyti duoti parodymus apie savo paties galimai padarytą nusikalstamą veiką, tai pažymima įtariamojo apklausos protokole.“</w:t>
      </w:r>
    </w:p>
    <w:p w14:paraId="7230B805" w14:textId="77777777" w:rsidR="000B32D3" w:rsidRDefault="007C5054">
      <w:pPr>
        <w:spacing w:line="360" w:lineRule="auto"/>
        <w:ind w:firstLine="720"/>
        <w:jc w:val="both"/>
        <w:rPr>
          <w:color w:val="000000"/>
          <w:szCs w:val="24"/>
        </w:rPr>
      </w:pPr>
    </w:p>
    <w:p w14:paraId="7230B806" w14:textId="77777777" w:rsidR="000B32D3" w:rsidRDefault="007C5054"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5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189 straipsnio pakeitimas</w:t>
      </w:r>
    </w:p>
    <w:p w14:paraId="7230B807" w14:textId="77777777" w:rsidR="000B32D3" w:rsidRDefault="007C5054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Pakeisti 189 straipsnio 4 dalį ir ją išdėstyti taip:</w:t>
      </w:r>
    </w:p>
    <w:p w14:paraId="7230B808" w14:textId="77777777" w:rsidR="000B32D3" w:rsidRDefault="007C5054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4</w:t>
      </w:r>
      <w:r>
        <w:rPr>
          <w:color w:val="000000"/>
          <w:szCs w:val="24"/>
        </w:rPr>
        <w:t>. Prokuroro iniciatyva atliekamos įtariamojo apklausos metu taikomos šio Kodekso 188 straipsnio 3 ir 4 dalių nuostatos.“</w:t>
      </w:r>
    </w:p>
    <w:p w14:paraId="7230B809" w14:textId="77777777" w:rsidR="000B32D3" w:rsidRDefault="007C5054">
      <w:pPr>
        <w:spacing w:line="360" w:lineRule="auto"/>
        <w:ind w:firstLine="720"/>
        <w:jc w:val="both"/>
        <w:rPr>
          <w:color w:val="000000"/>
          <w:szCs w:val="24"/>
        </w:rPr>
      </w:pPr>
    </w:p>
    <w:p w14:paraId="7230B80A" w14:textId="77777777" w:rsidR="000B32D3" w:rsidRDefault="007C5054"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>272 straipsn</w:t>
      </w:r>
      <w:r>
        <w:rPr>
          <w:b/>
          <w:color w:val="000000"/>
          <w:szCs w:val="24"/>
        </w:rPr>
        <w:t>io pakeitimas</w:t>
      </w:r>
    </w:p>
    <w:p w14:paraId="7230B80B" w14:textId="77777777" w:rsidR="000B32D3" w:rsidRDefault="007C5054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Pakeisti 272 straipsnio 1 dalį ir ją išdėstyti taip:</w:t>
      </w:r>
    </w:p>
    <w:p w14:paraId="7230B80C" w14:textId="77777777" w:rsidR="000B32D3" w:rsidRDefault="007C5054">
      <w:pPr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„</w:t>
      </w:r>
      <w:r>
        <w:rPr>
          <w:color w:val="000000"/>
          <w:szCs w:val="24"/>
        </w:rPr>
        <w:t>1</w:t>
      </w:r>
      <w:r>
        <w:rPr>
          <w:color w:val="000000"/>
          <w:szCs w:val="24"/>
        </w:rPr>
        <w:t>. Po kaltinamojo atsakymų dėl kaltinimo teisiamojo posėdžio pirmininkas išaiškina jam teisę duoti paaiškinimus, atsakyti į klausimus  arba tylėti ir (ar) atsisakyti duoti parodymus ap</w:t>
      </w:r>
      <w:r>
        <w:rPr>
          <w:color w:val="000000"/>
          <w:szCs w:val="24"/>
        </w:rPr>
        <w:t xml:space="preserve">ie savo paties galimai padarytą nusikalstamą veiką. Be to, teisiamojo posėdžio pirmininkas paaiškina, kad kaltinamasis posėdyje turi teisę užduoti klausimų apklausiamiems asmenims, </w:t>
      </w:r>
      <w:r>
        <w:rPr>
          <w:color w:val="000000"/>
          <w:szCs w:val="24"/>
        </w:rPr>
        <w:lastRenderedPageBreak/>
        <w:t>pareikšti savo nuomonę dėl kitų nagrinėjimo teisme dalyvių pareikštų prašym</w:t>
      </w:r>
      <w:r>
        <w:rPr>
          <w:color w:val="000000"/>
          <w:szCs w:val="24"/>
        </w:rPr>
        <w:t>ų ir duoti paaiškinimus dėl tiriamų įrodymų.“</w:t>
      </w:r>
    </w:p>
    <w:p w14:paraId="7230B80D" w14:textId="77777777" w:rsidR="000B32D3" w:rsidRDefault="007C5054">
      <w:pPr>
        <w:spacing w:line="360" w:lineRule="auto"/>
        <w:ind w:firstLine="720"/>
        <w:jc w:val="both"/>
        <w:rPr>
          <w:color w:val="000000"/>
          <w:szCs w:val="24"/>
        </w:rPr>
      </w:pPr>
    </w:p>
    <w:p w14:paraId="7230B80E" w14:textId="77777777" w:rsidR="000B32D3" w:rsidRDefault="007C5054">
      <w:pPr>
        <w:spacing w:line="360" w:lineRule="auto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>
        <w:rPr>
          <w:b/>
          <w:color w:val="000000"/>
          <w:szCs w:val="24"/>
        </w:rPr>
        <w:t xml:space="preserve"> straipsnis. </w:t>
      </w:r>
      <w:r>
        <w:rPr>
          <w:b/>
          <w:color w:val="000000"/>
          <w:szCs w:val="24"/>
        </w:rPr>
        <w:t xml:space="preserve">Kodekso priedo pakeitimas </w:t>
      </w:r>
    </w:p>
    <w:p w14:paraId="7230B80F" w14:textId="77777777" w:rsidR="000B32D3" w:rsidRDefault="007C5054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Papildyti Kodekso priedą 20 punktu:</w:t>
      </w:r>
    </w:p>
    <w:p w14:paraId="7230B810" w14:textId="77777777" w:rsidR="000B32D3" w:rsidRDefault="007C5054">
      <w:pPr>
        <w:spacing w:line="360" w:lineRule="auto"/>
        <w:ind w:firstLine="720"/>
        <w:jc w:val="both"/>
        <w:rPr>
          <w:b/>
        </w:rPr>
      </w:pPr>
      <w:r>
        <w:t>„</w:t>
      </w:r>
      <w:r>
        <w:t>20</w:t>
      </w:r>
      <w:bookmarkStart w:id="0" w:name="_GoBack"/>
      <w:bookmarkEnd w:id="0"/>
      <w:r>
        <w:t>. 2016 m. kovo 9 d. Europos Parlamento ir Tarybos direktyva (ES) 2016/343 dėl tam tikrų nekaltumo prezumpcijos ir t</w:t>
      </w:r>
      <w:r>
        <w:t>eisės dalyvauti nagrinėjant baudžiamąją bylą teisme aspektų užtikrinimo (OL 2016 L 65, p. 1).“</w:t>
      </w:r>
    </w:p>
    <w:p w14:paraId="7230B811" w14:textId="77777777" w:rsidR="000B32D3" w:rsidRDefault="007C5054">
      <w:pPr>
        <w:spacing w:line="360" w:lineRule="auto"/>
        <w:ind w:firstLine="720"/>
        <w:jc w:val="both"/>
      </w:pPr>
    </w:p>
    <w:p w14:paraId="7230B812" w14:textId="77777777" w:rsidR="000B32D3" w:rsidRDefault="007C5054">
      <w:pPr>
        <w:spacing w:line="360" w:lineRule="auto"/>
        <w:ind w:firstLine="720"/>
        <w:jc w:val="both"/>
        <w:rPr>
          <w:i/>
          <w:szCs w:val="24"/>
        </w:rPr>
      </w:pPr>
      <w:r>
        <w:rPr>
          <w:i/>
          <w:szCs w:val="24"/>
        </w:rPr>
        <w:t>Skelbiu šį Lietuvos Respublikos Seimo priimtą įstatymą.</w:t>
      </w:r>
    </w:p>
    <w:p w14:paraId="7230B813" w14:textId="77777777" w:rsidR="000B32D3" w:rsidRDefault="000B32D3">
      <w:pPr>
        <w:spacing w:line="360" w:lineRule="auto"/>
        <w:rPr>
          <w:i/>
          <w:szCs w:val="24"/>
        </w:rPr>
      </w:pPr>
    </w:p>
    <w:p w14:paraId="7230B814" w14:textId="77777777" w:rsidR="000B32D3" w:rsidRDefault="000B32D3">
      <w:pPr>
        <w:spacing w:line="360" w:lineRule="auto"/>
        <w:rPr>
          <w:i/>
          <w:szCs w:val="24"/>
        </w:rPr>
      </w:pPr>
    </w:p>
    <w:p w14:paraId="7230B815" w14:textId="77777777" w:rsidR="000B32D3" w:rsidRDefault="000B32D3">
      <w:pPr>
        <w:spacing w:line="360" w:lineRule="auto"/>
      </w:pPr>
    </w:p>
    <w:p w14:paraId="7230B816" w14:textId="77777777" w:rsidR="000B32D3" w:rsidRDefault="007C5054">
      <w:pPr>
        <w:tabs>
          <w:tab w:val="right" w:pos="9356"/>
        </w:tabs>
      </w:pPr>
      <w:r>
        <w:t>Respublikos Prezidentė</w:t>
      </w:r>
      <w:r>
        <w:rPr>
          <w:caps/>
        </w:rPr>
        <w:tab/>
      </w:r>
      <w:r>
        <w:t>Dalia Grybauskaitė</w:t>
      </w:r>
    </w:p>
    <w:sectPr w:rsidR="000B32D3">
      <w:type w:val="continuous"/>
      <w:pgSz w:w="11907" w:h="16840" w:code="9"/>
      <w:pgMar w:top="1134" w:right="851" w:bottom="1134" w:left="1701" w:header="706" w:footer="70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0B81B" w14:textId="77777777" w:rsidR="000B32D3" w:rsidRDefault="007C505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endnote>
  <w:endnote w:type="continuationSeparator" w:id="0">
    <w:p w14:paraId="7230B81C" w14:textId="77777777" w:rsidR="000B32D3" w:rsidRDefault="007C505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0B821" w14:textId="77777777" w:rsidR="000B32D3" w:rsidRDefault="007C5054">
    <w:pPr>
      <w:framePr w:wrap="auto" w:vAnchor="text" w:hAnchor="margin" w:xAlign="center" w:y="1"/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14:paraId="7230B822" w14:textId="77777777" w:rsidR="000B32D3" w:rsidRDefault="000B32D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0B823" w14:textId="77777777" w:rsidR="000B32D3" w:rsidRDefault="000B32D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0B825" w14:textId="77777777" w:rsidR="000B32D3" w:rsidRDefault="000B32D3">
    <w:pPr>
      <w:tabs>
        <w:tab w:val="center" w:pos="4320"/>
        <w:tab w:val="right" w:pos="8640"/>
      </w:tabs>
      <w:spacing w:line="360" w:lineRule="auto"/>
      <w:ind w:firstLine="720"/>
      <w:jc w:val="both"/>
      <w:rPr>
        <w:rFonts w:ascii="TimesLT" w:hAnsi="Times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0B819" w14:textId="77777777" w:rsidR="000B32D3" w:rsidRDefault="007C505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separator/>
      </w:r>
    </w:p>
  </w:footnote>
  <w:footnote w:type="continuationSeparator" w:id="0">
    <w:p w14:paraId="7230B81A" w14:textId="77777777" w:rsidR="000B32D3" w:rsidRDefault="007C5054">
      <w:pPr>
        <w:rPr>
          <w:rFonts w:ascii="TimesLT" w:hAnsi="TimesLT"/>
          <w:lang w:val="en-US"/>
        </w:rPr>
      </w:pPr>
      <w:r>
        <w:rPr>
          <w:rFonts w:ascii="TimesLT" w:hAnsi="TimesLT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0B81D" w14:textId="77777777" w:rsidR="000B32D3" w:rsidRDefault="007C5054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lang w:val="en-US"/>
      </w:rPr>
    </w:pPr>
    <w:r>
      <w:rPr>
        <w:rFonts w:ascii="TimesLT" w:hAnsi="TimesLT"/>
        <w:lang w:val="en-US"/>
      </w:rPr>
      <w:fldChar w:fldCharType="begin"/>
    </w:r>
    <w:r>
      <w:rPr>
        <w:rFonts w:ascii="TimesLT" w:hAnsi="TimesLT"/>
        <w:lang w:val="en-US"/>
      </w:rPr>
      <w:instrText xml:space="preserve">PAGE  </w:instrText>
    </w:r>
    <w:r>
      <w:rPr>
        <w:rFonts w:ascii="TimesLT" w:hAnsi="TimesLT"/>
        <w:lang w:val="en-US"/>
      </w:rPr>
      <w:fldChar w:fldCharType="end"/>
    </w:r>
  </w:p>
  <w:p w14:paraId="7230B81E" w14:textId="77777777" w:rsidR="000B32D3" w:rsidRDefault="000B32D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0B81F" w14:textId="77777777" w:rsidR="000B32D3" w:rsidRDefault="007C5054">
    <w:pPr>
      <w:framePr w:wrap="auto" w:vAnchor="text" w:hAnchor="page" w:x="6337" w:y="15"/>
      <w:tabs>
        <w:tab w:val="center" w:pos="4153"/>
        <w:tab w:val="right" w:pos="8306"/>
      </w:tabs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PAGE  </w:instrText>
    </w:r>
    <w:r>
      <w:rPr>
        <w:szCs w:val="24"/>
        <w:lang w:val="en-US"/>
      </w:rPr>
      <w:fldChar w:fldCharType="separate"/>
    </w:r>
    <w:r>
      <w:rPr>
        <w:noProof/>
        <w:szCs w:val="24"/>
        <w:lang w:val="en-US"/>
      </w:rPr>
      <w:t>3</w:t>
    </w:r>
    <w:r>
      <w:rPr>
        <w:szCs w:val="24"/>
        <w:lang w:val="en-US"/>
      </w:rPr>
      <w:fldChar w:fldCharType="end"/>
    </w:r>
  </w:p>
  <w:p w14:paraId="7230B820" w14:textId="77777777" w:rsidR="000B32D3" w:rsidRDefault="000B32D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0B824" w14:textId="77777777" w:rsidR="000B32D3" w:rsidRDefault="000B32D3">
    <w:pPr>
      <w:tabs>
        <w:tab w:val="center" w:pos="4153"/>
        <w:tab w:val="right" w:pos="8306"/>
      </w:tabs>
      <w:rPr>
        <w:rFonts w:ascii="TimesLT" w:hAnsi="Times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F2"/>
    <w:rsid w:val="000B32D3"/>
    <w:rsid w:val="001938F2"/>
    <w:rsid w:val="007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0B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4307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 Seimas</Company>
  <LinksUpToDate>false</LinksUpToDate>
  <CharactersWithSpaces>4928</CharactersWithSpaces>
  <SharedDoc>false</SharedDoc>
  <HyperlinkBase/>
  <HLinks>
    <vt:vector size="6" baseType="variant">
      <vt:variant>
        <vt:i4>5832794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Settings\lipetr\My Documents\Vytis1.gif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2018-07-11T05:59:00Z</dcterms:created>
  <dc:creator>MANIUŠKIENĖ Violeta</dc:creator>
  <lastModifiedBy>GUMBYTĖ Danguolė</lastModifiedBy>
  <lastPrinted>2004-12-10T05:45:00Z</lastPrinted>
  <dcterms:modified xsi:type="dcterms:W3CDTF">2018-07-11T10:27:00Z</dcterms:modified>
  <revision>3</revision>
</coreProperties>
</file>