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16edf04d41a44f39a36f4cb6ede95665"/>
        <w:id w:val="-173800910"/>
        <w:lock w:val="sdtLocked"/>
      </w:sdtPr>
      <w:sdtEndPr/>
      <w:sdtContent>
        <w:p w14:paraId="5EC643E1" w14:textId="77777777" w:rsidR="007B0C79" w:rsidRDefault="007B0C79">
          <w:pPr>
            <w:tabs>
              <w:tab w:val="center" w:pos="4153"/>
              <w:tab w:val="right" w:pos="8306"/>
            </w:tabs>
            <w:rPr>
              <w:sz w:val="20"/>
              <w:lang w:eastAsia="lt-LT"/>
            </w:rPr>
          </w:pPr>
        </w:p>
        <w:p w14:paraId="62AE1FA4" w14:textId="549F925A" w:rsidR="007B0C79" w:rsidRDefault="00516BB8">
          <w:pPr>
            <w:jc w:val="center"/>
            <w:rPr>
              <w:lang w:eastAsia="lt-LT"/>
            </w:rPr>
          </w:pPr>
          <w:r>
            <w:rPr>
              <w:noProof/>
              <w:lang w:eastAsia="lt-LT"/>
            </w:rPr>
            <w:drawing>
              <wp:inline distT="0" distB="0" distL="0" distR="0" wp14:anchorId="596BD20B" wp14:editId="3F0F9A4F">
                <wp:extent cx="579120" cy="70739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9120" cy="707390"/>
                        </a:xfrm>
                        <a:prstGeom prst="rect">
                          <a:avLst/>
                        </a:prstGeom>
                        <a:noFill/>
                      </pic:spPr>
                    </pic:pic>
                  </a:graphicData>
                </a:graphic>
              </wp:inline>
            </w:drawing>
          </w:r>
        </w:p>
        <w:p w14:paraId="4D00C180" w14:textId="77777777" w:rsidR="007B0C79" w:rsidRDefault="007B0C79">
          <w:pPr>
            <w:jc w:val="center"/>
            <w:rPr>
              <w:lang w:eastAsia="lt-LT"/>
            </w:rPr>
          </w:pPr>
        </w:p>
        <w:p w14:paraId="3F7F7D8E" w14:textId="77777777" w:rsidR="007B0C79" w:rsidRDefault="00516BB8">
          <w:pPr>
            <w:jc w:val="center"/>
            <w:rPr>
              <w:b/>
              <w:lang w:eastAsia="lt-LT"/>
            </w:rPr>
          </w:pPr>
          <w:r>
            <w:rPr>
              <w:b/>
              <w:lang w:eastAsia="lt-LT"/>
            </w:rPr>
            <w:t>JONIŠKIO RAJONO SAVIVALDYBĖS</w:t>
          </w:r>
        </w:p>
        <w:p w14:paraId="190091FF" w14:textId="77777777" w:rsidR="007B0C79" w:rsidRDefault="00516BB8">
          <w:pPr>
            <w:jc w:val="center"/>
            <w:rPr>
              <w:b/>
              <w:lang w:eastAsia="lt-LT"/>
            </w:rPr>
          </w:pPr>
          <w:r>
            <w:rPr>
              <w:b/>
              <w:lang w:eastAsia="lt-LT"/>
            </w:rPr>
            <w:t>TARYBA</w:t>
          </w:r>
        </w:p>
        <w:p w14:paraId="478E7C6A" w14:textId="77777777" w:rsidR="007B0C79" w:rsidRDefault="007B0C79">
          <w:pPr>
            <w:jc w:val="center"/>
            <w:rPr>
              <w:b/>
              <w:lang w:eastAsia="lt-LT"/>
            </w:rPr>
          </w:pPr>
        </w:p>
        <w:p w14:paraId="4047BC35" w14:textId="77777777" w:rsidR="007B0C79" w:rsidRDefault="00516BB8">
          <w:pPr>
            <w:jc w:val="center"/>
            <w:rPr>
              <w:b/>
              <w:lang w:eastAsia="lt-LT"/>
            </w:rPr>
          </w:pPr>
          <w:r>
            <w:rPr>
              <w:b/>
              <w:lang w:eastAsia="lt-LT"/>
            </w:rPr>
            <w:t>SPRENDIMAS</w:t>
          </w:r>
        </w:p>
        <w:sdt>
          <w:sdtPr>
            <w:rPr>
              <w:b/>
              <w:lang w:eastAsia="lt-LT"/>
            </w:rPr>
            <w:alias w:val="Pavadinimas"/>
            <w:tag w:val="title_16edf04d41a44f39a36f4cb6ede95665"/>
            <w:id w:val="1964458814"/>
            <w:lock w:val="sdtLocked"/>
            <w:placeholder>
              <w:docPart w:val="DefaultPlaceholder_1082065158"/>
            </w:placeholder>
          </w:sdtPr>
          <w:sdtContent>
            <w:p w14:paraId="310C2D0F" w14:textId="605590E8" w:rsidR="007B0C79" w:rsidRDefault="00516BB8">
              <w:pPr>
                <w:jc w:val="center"/>
                <w:rPr>
                  <w:b/>
                  <w:lang w:eastAsia="lt-LT"/>
                </w:rPr>
              </w:pPr>
              <w:r>
                <w:rPr>
                  <w:b/>
                  <w:lang w:eastAsia="lt-LT"/>
                </w:rPr>
                <w:t>DĖL JONIŠKIO RAJONO SAVIVALDYBĖS TARYBOS 2013 M. GEGUŽĖS 30 D. SPRENDIMO NR. T-85 „DĖL DIENOS IR TRUMPALAIKĖS SOCIALINĖS GLOBOS NEĮGALIEMS ASMENIMS TEIKIMO IR MOKĖJIMO UŽ PASLAUGAS TVARKOS APRAŠO PATVIRTINIMO“ PAKEITIMO</w:t>
              </w:r>
            </w:p>
          </w:sdtContent>
        </w:sdt>
        <w:p w14:paraId="375B72BC" w14:textId="77777777" w:rsidR="007B0C79" w:rsidRDefault="007B0C79">
          <w:pPr>
            <w:jc w:val="center"/>
            <w:rPr>
              <w:lang w:eastAsia="lt-LT"/>
            </w:rPr>
          </w:pPr>
        </w:p>
        <w:p w14:paraId="41CE7064" w14:textId="77777777" w:rsidR="007B0C79" w:rsidRDefault="00516BB8">
          <w:pPr>
            <w:jc w:val="center"/>
            <w:rPr>
              <w:lang w:eastAsia="lt-LT"/>
            </w:rPr>
          </w:pPr>
          <w:r>
            <w:rPr>
              <w:lang w:eastAsia="lt-LT"/>
            </w:rPr>
            <w:t>2015 m. vasario 12 d.  Nr. T-11</w:t>
          </w:r>
        </w:p>
        <w:p w14:paraId="41CE7065" w14:textId="77777777" w:rsidR="007B0C79" w:rsidRDefault="00516BB8">
          <w:pPr>
            <w:jc w:val="center"/>
            <w:rPr>
              <w:rFonts w:eastAsia="Calibri"/>
              <w:color w:val="000000"/>
              <w:szCs w:val="24"/>
              <w:lang w:eastAsia="lt-LT"/>
            </w:rPr>
          </w:pPr>
          <w:r>
            <w:rPr>
              <w:color w:val="000000"/>
              <w:lang w:eastAsia="lt-LT"/>
            </w:rPr>
            <w:t>Joniškis</w:t>
          </w:r>
        </w:p>
        <w:p w14:paraId="41CE7066" w14:textId="77777777" w:rsidR="007B0C79" w:rsidRDefault="007B0C79">
          <w:pPr>
            <w:rPr>
              <w:color w:val="000000"/>
              <w:lang w:eastAsia="lt-LT"/>
            </w:rPr>
          </w:pPr>
        </w:p>
        <w:p w14:paraId="41CE7067" w14:textId="77777777" w:rsidR="007B0C79" w:rsidRDefault="007B0C79">
          <w:pPr>
            <w:rPr>
              <w:color w:val="000000"/>
              <w:lang w:eastAsia="lt-LT"/>
            </w:rPr>
          </w:pPr>
        </w:p>
        <w:sdt>
          <w:sdtPr>
            <w:alias w:val="preambule"/>
            <w:tag w:val="part_eb76b6b4dde34552b9849aefd434e3fa"/>
            <w:id w:val="-1789733541"/>
            <w:lock w:val="sdtLocked"/>
          </w:sdtPr>
          <w:sdtEndPr/>
          <w:sdtContent>
            <w:p w14:paraId="41CE7068" w14:textId="77777777" w:rsidR="007B0C79" w:rsidRDefault="00516BB8" w:rsidP="00516BB8">
              <w:pPr>
                <w:tabs>
                  <w:tab w:val="left" w:pos="709"/>
                </w:tabs>
                <w:ind w:firstLine="709"/>
                <w:jc w:val="both"/>
                <w:rPr>
                  <w:szCs w:val="22"/>
                </w:rPr>
              </w:pPr>
              <w:r>
                <w:rPr>
                  <w:szCs w:val="22"/>
                </w:rPr>
                <w:t xml:space="preserve">Vadovaudamasi Lietuvos Respublikos vietos savivaldos įstatymo 18 straipsnio 1 dalimi, Mokėjimo už socialines paslaugas tvarkos aprašo, patvirtinto Lietuvos Respublikos Vyriausybės 2006 m. birželio 14 d. nutarimu Nr. 583 „Dėl Mokėjimo už socialines paslaugas tvarkos aprašo patvirtinimo“, 36 punktu, Joniškio rajono savivaldybės taryba n u s p r e n d ž i a </w:t>
              </w:r>
            </w:p>
          </w:sdtContent>
        </w:sdt>
        <w:sdt>
          <w:sdtPr>
            <w:alias w:val="pastraipa"/>
            <w:tag w:val="part_b615db58ea2346e7aa5635591c58bb77"/>
            <w:id w:val="1516734738"/>
            <w:lock w:val="sdtLocked"/>
          </w:sdtPr>
          <w:sdtEndPr/>
          <w:sdtContent>
            <w:p w14:paraId="41CE7069" w14:textId="77777777" w:rsidR="007B0C79" w:rsidRDefault="00516BB8" w:rsidP="00516BB8">
              <w:pPr>
                <w:tabs>
                  <w:tab w:val="left" w:pos="709"/>
                </w:tabs>
                <w:ind w:firstLine="709"/>
                <w:jc w:val="both"/>
                <w:rPr>
                  <w:szCs w:val="22"/>
                </w:rPr>
              </w:pPr>
              <w:r>
                <w:rPr>
                  <w:szCs w:val="22"/>
                </w:rPr>
                <w:t>pakeisti Dienos ir trumpalaikės socialinės globos neįgaliems asmenims teikimo ir mokėjimo už paslaugas tvarkos aprašo, patvirtinto Joniškio rajono savivaldybės tarybos 2013 m. gegužės 30 d. sprendimu Nr. T-85 (su pakeitimu, padarytu 2014 m. birželio 19 d. sprendimu Nr. T-83), 21 punktą ir jį išdėstyti taip:</w:t>
              </w:r>
            </w:p>
            <w:sdt>
              <w:sdtPr>
                <w:alias w:val="citata"/>
                <w:tag w:val="part_da480de4ad7d445482c07e5fd4040a6d"/>
                <w:id w:val="-1999021212"/>
                <w:lock w:val="sdtLocked"/>
              </w:sdtPr>
              <w:sdtEndPr/>
              <w:sdtContent>
                <w:sdt>
                  <w:sdtPr>
                    <w:alias w:val="21 p."/>
                    <w:tag w:val="part_c54598b9110e4f018789161786bdcf44"/>
                    <w:id w:val="-732630740"/>
                    <w:lock w:val="sdtLocked"/>
                  </w:sdtPr>
                  <w:sdtEndPr/>
                  <w:sdtContent>
                    <w:p w14:paraId="41CE706A" w14:textId="77777777" w:rsidR="007B0C79" w:rsidRDefault="00516BB8" w:rsidP="00516BB8">
                      <w:pPr>
                        <w:widowControl w:val="0"/>
                        <w:tabs>
                          <w:tab w:val="left" w:pos="709"/>
                        </w:tabs>
                        <w:suppressAutoHyphens/>
                        <w:ind w:firstLine="709"/>
                        <w:jc w:val="both"/>
                        <w:rPr>
                          <w:szCs w:val="24"/>
                          <w:lang w:eastAsia="lt-LT"/>
                        </w:rPr>
                      </w:pPr>
                      <w:r>
                        <w:rPr>
                          <w:lang w:eastAsia="lt-LT"/>
                        </w:rPr>
                        <w:t>„</w:t>
                      </w:r>
                      <w:sdt>
                        <w:sdtPr>
                          <w:alias w:val="Numeris"/>
                          <w:tag w:val="nr_c54598b9110e4f018789161786bdcf44"/>
                          <w:id w:val="1641145746"/>
                          <w:lock w:val="sdtLocked"/>
                        </w:sdtPr>
                        <w:sdtEndPr/>
                        <w:sdtContent>
                          <w:r>
                            <w:rPr>
                              <w:lang w:eastAsia="lt-LT"/>
                            </w:rPr>
                            <w:t>21</w:t>
                          </w:r>
                        </w:sdtContent>
                      </w:sdt>
                      <w:r>
                        <w:rPr>
                          <w:lang w:eastAsia="lt-LT"/>
                        </w:rPr>
                        <w:t>. Asmuo moka už vieną kalendorinį mėnesį teikiamą trumpalaikę  socialinę globą:</w:t>
                      </w:r>
                    </w:p>
                    <w:sdt>
                      <w:sdtPr>
                        <w:alias w:val="21.1 p."/>
                        <w:tag w:val="part_a731d9c27d94415ba27238a51f1c0912"/>
                        <w:id w:val="-1196683402"/>
                        <w:lock w:val="sdtLocked"/>
                      </w:sdtPr>
                      <w:sdtEndPr/>
                      <w:sdtContent>
                        <w:p w14:paraId="41CE706B" w14:textId="77777777" w:rsidR="007B0C79" w:rsidRDefault="003A7F9C" w:rsidP="00516BB8">
                          <w:pPr>
                            <w:tabs>
                              <w:tab w:val="left" w:pos="709"/>
                            </w:tabs>
                            <w:ind w:firstLine="709"/>
                            <w:jc w:val="both"/>
                            <w:rPr>
                              <w:lang w:eastAsia="lt-LT"/>
                            </w:rPr>
                          </w:pPr>
                          <w:sdt>
                            <w:sdtPr>
                              <w:alias w:val="Numeris"/>
                              <w:tag w:val="nr_a731d9c27d94415ba27238a51f1c0912"/>
                              <w:id w:val="1826244056"/>
                              <w:lock w:val="sdtLocked"/>
                            </w:sdtPr>
                            <w:sdtEndPr/>
                            <w:sdtContent>
                              <w:r w:rsidR="00516BB8">
                                <w:rPr>
                                  <w:lang w:eastAsia="lt-LT"/>
                                </w:rPr>
                                <w:t>21.1</w:t>
                              </w:r>
                            </w:sdtContent>
                          </w:sdt>
                          <w:r w:rsidR="00516BB8">
                            <w:rPr>
                              <w:lang w:eastAsia="lt-LT"/>
                            </w:rPr>
                            <w:t>. Vienas gyvenantis asmuo moka 60 procentų savo pajamų. Tais atvejais, kai asmuo pagal Lietuvos Respublikos valstybinių šalpos išmokų įstatymą gauna slaugos ar priežiūros (pagalbos) išlaidų tikslinę kompensaciją, visa šios kompensacijos suma (100 procentų) skiriama mokėjimui už trumpalaikę socialinę globą padengti.</w:t>
                          </w:r>
                        </w:p>
                      </w:sdtContent>
                    </w:sdt>
                    <w:sdt>
                      <w:sdtPr>
                        <w:alias w:val="21.2 p."/>
                        <w:tag w:val="part_cea5f1ec6ebe4c3587aecb29d6625870"/>
                        <w:id w:val="-1270537162"/>
                        <w:lock w:val="sdtLocked"/>
                      </w:sdtPr>
                      <w:sdtEndPr/>
                      <w:sdtContent>
                        <w:p w14:paraId="41CE706C" w14:textId="77777777" w:rsidR="007B0C79" w:rsidRDefault="003A7F9C" w:rsidP="00516BB8">
                          <w:pPr>
                            <w:tabs>
                              <w:tab w:val="left" w:pos="709"/>
                            </w:tabs>
                            <w:ind w:firstLine="709"/>
                            <w:jc w:val="both"/>
                            <w:rPr>
                              <w:lang w:eastAsia="lt-LT"/>
                            </w:rPr>
                          </w:pPr>
                          <w:sdt>
                            <w:sdtPr>
                              <w:alias w:val="Numeris"/>
                              <w:tag w:val="nr_cea5f1ec6ebe4c3587aecb29d6625870"/>
                              <w:id w:val="1932625599"/>
                              <w:lock w:val="sdtLocked"/>
                            </w:sdtPr>
                            <w:sdtEndPr/>
                            <w:sdtContent>
                              <w:r w:rsidR="00516BB8">
                                <w:rPr>
                                  <w:lang w:eastAsia="lt-LT"/>
                                </w:rPr>
                                <w:t>21.2</w:t>
                              </w:r>
                            </w:sdtContent>
                          </w:sdt>
                          <w:r w:rsidR="00516BB8">
                            <w:rPr>
                              <w:lang w:eastAsia="lt-LT"/>
                            </w:rPr>
                            <w:t>. Asmuo, gyvenantis šeimoje, kurios pajamos vienam šeimos nariui neviršija valstybės remiamų pajamų trigubo dydžio, moka 60 procentų asmens pajamų. Tais atvejais, kai paslaugas gaunantis asmuo pagal Lietuvos Respublikos valstybinių šalpos išmokų įstatymą gauna slaugos ar priežiūros (pagalbos) išlaidų tikslinę kompensaciją, visa šios kompensacijos suma (100 procentų) skiriama mokėjimui už trumpalaikę socialinę globą padengti.</w:t>
                          </w:r>
                        </w:p>
                      </w:sdtContent>
                    </w:sdt>
                    <w:sdt>
                      <w:sdtPr>
                        <w:alias w:val="21.3 p."/>
                        <w:tag w:val="part_45b7d675ac3e482e9b50531c4bafacde"/>
                        <w:id w:val="-1439376214"/>
                        <w:lock w:val="sdtLocked"/>
                      </w:sdtPr>
                      <w:sdtEndPr/>
                      <w:sdtContent>
                        <w:p w14:paraId="41CE706D" w14:textId="77777777" w:rsidR="007B0C79" w:rsidRDefault="003A7F9C" w:rsidP="00516BB8">
                          <w:pPr>
                            <w:tabs>
                              <w:tab w:val="left" w:pos="709"/>
                            </w:tabs>
                            <w:ind w:firstLine="709"/>
                            <w:jc w:val="both"/>
                            <w:rPr>
                              <w:lang w:eastAsia="lt-LT"/>
                            </w:rPr>
                          </w:pPr>
                          <w:sdt>
                            <w:sdtPr>
                              <w:alias w:val="Numeris"/>
                              <w:tag w:val="nr_45b7d675ac3e482e9b50531c4bafacde"/>
                              <w:id w:val="-2044352177"/>
                              <w:lock w:val="sdtLocked"/>
                            </w:sdtPr>
                            <w:sdtEndPr/>
                            <w:sdtContent>
                              <w:r w:rsidR="00516BB8">
                                <w:rPr>
                                  <w:lang w:eastAsia="lt-LT"/>
                                </w:rPr>
                                <w:t>21.3</w:t>
                              </w:r>
                            </w:sdtContent>
                          </w:sdt>
                          <w:r w:rsidR="00516BB8">
                            <w:rPr>
                              <w:lang w:eastAsia="lt-LT"/>
                            </w:rPr>
                            <w:t>. Asmuo, gyvenantis šeimoje, kurios pajamos viršija valstybės remiamų pajamų trigubą dydį, moka 80 procentų asmens pajamų. Tais atvejais, kai paslaugas gaunantis asmuo pagal Lietuvos Respublikos valstybinių šalpos išmokų įstatymą gauna slaugos ar priežiūros (pagalbos) išlaidų tikslinę kompensaciją, visa šios kompensacijos suma (100 procentų) skiriama mokėjimui už trumpalaikę socialinę globą padengti.</w:t>
                          </w:r>
                        </w:p>
                      </w:sdtContent>
                    </w:sdt>
                    <w:sdt>
                      <w:sdtPr>
                        <w:alias w:val="21.4 p."/>
                        <w:tag w:val="part_60e12c9d71184553a0c3f1c37c9b7747"/>
                        <w:id w:val="-995481840"/>
                        <w:lock w:val="sdtLocked"/>
                      </w:sdtPr>
                      <w:sdtEndPr/>
                      <w:sdtContent>
                        <w:p w14:paraId="41CE7070" w14:textId="2B29E2FD" w:rsidR="007B0C79" w:rsidRDefault="003A7F9C" w:rsidP="00516BB8">
                          <w:pPr>
                            <w:widowControl w:val="0"/>
                            <w:tabs>
                              <w:tab w:val="left" w:pos="709"/>
                            </w:tabs>
                            <w:suppressAutoHyphens/>
                            <w:ind w:firstLine="709"/>
                            <w:jc w:val="both"/>
                            <w:rPr>
                              <w:lang w:eastAsia="lt-LT"/>
                            </w:rPr>
                          </w:pPr>
                          <w:sdt>
                            <w:sdtPr>
                              <w:alias w:val="Numeris"/>
                              <w:tag w:val="nr_60e12c9d71184553a0c3f1c37c9b7747"/>
                              <w:id w:val="-602644850"/>
                              <w:lock w:val="sdtLocked"/>
                            </w:sdtPr>
                            <w:sdtEndPr/>
                            <w:sdtContent>
                              <w:r w:rsidR="00516BB8">
                                <w:rPr>
                                  <w:lang w:eastAsia="lt-LT"/>
                                </w:rPr>
                                <w:t>21.4</w:t>
                              </w:r>
                            </w:sdtContent>
                          </w:sdt>
                          <w:r w:rsidR="00516BB8">
                            <w:rPr>
                              <w:lang w:eastAsia="lt-LT"/>
                            </w:rPr>
                            <w:t xml:space="preserve">. </w:t>
                          </w:r>
                          <w:r w:rsidR="00516BB8">
                            <w:rPr>
                              <w:rFonts w:eastAsia="Arial Unicode MS"/>
                              <w:lang w:eastAsia="lt-LT"/>
                            </w:rPr>
                            <w:t xml:space="preserve">Jei paslaugos teikėjas savo paslaugų teikimo taisyklėse yra numatęs galimybę asmeniui  maitintis savo lėšomis, mokėjimo už trumpalaikę globą dydis mažinamas 20 procentų.“  </w:t>
                          </w:r>
                        </w:p>
                      </w:sdtContent>
                    </w:sdt>
                  </w:sdtContent>
                </w:sdt>
              </w:sdtContent>
            </w:sdt>
          </w:sdtContent>
        </w:sdt>
        <w:sdt>
          <w:sdtPr>
            <w:alias w:val="signatura"/>
            <w:tag w:val="part_98e5ae0765724bdd8894d638099079c5"/>
            <w:id w:val="-765073239"/>
            <w:lock w:val="sdtLocked"/>
          </w:sdtPr>
          <w:sdtEndPr/>
          <w:sdtContent>
            <w:bookmarkStart w:id="0" w:name="_GoBack" w:displacedByCustomXml="prev"/>
            <w:p w14:paraId="4774607A" w14:textId="77777777" w:rsidR="00516BB8" w:rsidRDefault="00516BB8"/>
            <w:p w14:paraId="383DC11F" w14:textId="77777777" w:rsidR="00516BB8" w:rsidRDefault="00516BB8"/>
            <w:p w14:paraId="34269210" w14:textId="77777777" w:rsidR="00516BB8" w:rsidRDefault="00516BB8"/>
            <w:p w14:paraId="41CE7071" w14:textId="56A5F891" w:rsidR="007B0C79" w:rsidRDefault="00516BB8">
              <w:pPr>
                <w:rPr>
                  <w:szCs w:val="22"/>
                  <w:lang w:eastAsia="lt-LT"/>
                </w:rPr>
              </w:pPr>
              <w:r>
                <w:rPr>
                  <w:szCs w:val="22"/>
                  <w:lang w:eastAsia="lt-LT"/>
                </w:rPr>
                <w:t>Savivaldybės meras</w:t>
              </w:r>
              <w:r>
                <w:rPr>
                  <w:szCs w:val="22"/>
                  <w:lang w:eastAsia="lt-LT"/>
                </w:rPr>
                <w:tab/>
              </w:r>
              <w:r>
                <w:rPr>
                  <w:szCs w:val="22"/>
                  <w:lang w:eastAsia="lt-LT"/>
                </w:rPr>
                <w:tab/>
              </w:r>
              <w:r>
                <w:rPr>
                  <w:szCs w:val="22"/>
                  <w:lang w:eastAsia="lt-LT"/>
                </w:rPr>
                <w:tab/>
              </w:r>
              <w:r>
                <w:rPr>
                  <w:szCs w:val="22"/>
                  <w:lang w:eastAsia="lt-LT"/>
                </w:rPr>
                <w:tab/>
              </w:r>
              <w:r>
                <w:rPr>
                  <w:szCs w:val="22"/>
                  <w:lang w:eastAsia="lt-LT"/>
                </w:rPr>
                <w:tab/>
              </w:r>
              <w:r>
                <w:rPr>
                  <w:szCs w:val="22"/>
                  <w:lang w:eastAsia="lt-LT"/>
                </w:rPr>
                <w:tab/>
              </w:r>
              <w:r>
                <w:rPr>
                  <w:szCs w:val="22"/>
                  <w:lang w:eastAsia="lt-LT"/>
                </w:rPr>
                <w:tab/>
              </w:r>
              <w:r>
                <w:rPr>
                  <w:szCs w:val="22"/>
                  <w:lang w:eastAsia="lt-LT"/>
                </w:rPr>
                <w:tab/>
                <w:t>Gediminas Čepulis</w:t>
              </w:r>
            </w:p>
            <w:bookmarkEnd w:id="0" w:displacedByCustomXml="next"/>
          </w:sdtContent>
        </w:sdt>
      </w:sdtContent>
    </w:sdt>
    <w:sectPr w:rsidR="007B0C79">
      <w:headerReference w:type="even" r:id="rId10"/>
      <w:headerReference w:type="default" r:id="rId11"/>
      <w:footerReference w:type="even" r:id="rId12"/>
      <w:footerReference w:type="default" r:id="rId13"/>
      <w:headerReference w:type="first" r:id="rId14"/>
      <w:footerReference w:type="first" r:id="rId15"/>
      <w:pgSz w:w="11906" w:h="16838" w:code="9"/>
      <w:pgMar w:top="1134" w:right="567" w:bottom="1134" w:left="1701" w:header="992" w:footer="794"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1CE7076" w14:textId="77777777" w:rsidR="007B0C79" w:rsidRDefault="00516BB8">
      <w:pPr>
        <w:rPr>
          <w:lang w:val="en-AU" w:eastAsia="lt-LT"/>
        </w:rPr>
      </w:pPr>
      <w:r>
        <w:rPr>
          <w:lang w:val="en-AU" w:eastAsia="lt-LT"/>
        </w:rPr>
        <w:separator/>
      </w:r>
    </w:p>
  </w:endnote>
  <w:endnote w:type="continuationSeparator" w:id="0">
    <w:p w14:paraId="41CE7077" w14:textId="77777777" w:rsidR="007B0C79" w:rsidRDefault="00516BB8">
      <w:pPr>
        <w:rPr>
          <w:lang w:val="en-AU" w:eastAsia="lt-LT"/>
        </w:rPr>
      </w:pPr>
      <w:r>
        <w:rPr>
          <w:lang w:val="en-AU"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1CE707B" w14:textId="77777777" w:rsidR="007B0C79" w:rsidRDefault="007B0C79">
    <w:pPr>
      <w:tabs>
        <w:tab w:val="center" w:pos="4153"/>
        <w:tab w:val="right" w:pos="8306"/>
      </w:tabs>
      <w:rPr>
        <w:lang w:val="en-AU"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1CE707C" w14:textId="77777777" w:rsidR="007B0C79" w:rsidRDefault="007B0C79">
    <w:pPr>
      <w:tabs>
        <w:tab w:val="center" w:pos="4153"/>
        <w:tab w:val="right" w:pos="8306"/>
      </w:tabs>
      <w:rPr>
        <w:lang w:val="en-AU"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1CE707E" w14:textId="77777777" w:rsidR="007B0C79" w:rsidRDefault="007B0C79">
    <w:pPr>
      <w:tabs>
        <w:tab w:val="center" w:pos="4153"/>
        <w:tab w:val="right" w:pos="8306"/>
      </w:tabs>
      <w:rPr>
        <w:lang w:val="en-AU"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1CE7074" w14:textId="77777777" w:rsidR="007B0C79" w:rsidRDefault="00516BB8">
      <w:pPr>
        <w:rPr>
          <w:lang w:val="en-AU" w:eastAsia="lt-LT"/>
        </w:rPr>
      </w:pPr>
      <w:r>
        <w:rPr>
          <w:lang w:val="en-AU" w:eastAsia="lt-LT"/>
        </w:rPr>
        <w:separator/>
      </w:r>
    </w:p>
  </w:footnote>
  <w:footnote w:type="continuationSeparator" w:id="0">
    <w:p w14:paraId="41CE7075" w14:textId="77777777" w:rsidR="007B0C79" w:rsidRDefault="00516BB8">
      <w:pPr>
        <w:rPr>
          <w:lang w:val="en-AU" w:eastAsia="lt-LT"/>
        </w:rPr>
      </w:pPr>
      <w:r>
        <w:rPr>
          <w:lang w:val="en-AU"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1CE7078" w14:textId="77777777" w:rsidR="007B0C79" w:rsidRDefault="00516BB8">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end"/>
    </w:r>
  </w:p>
  <w:p w14:paraId="41CE7079" w14:textId="77777777" w:rsidR="007B0C79" w:rsidRDefault="007B0C79">
    <w:pPr>
      <w:tabs>
        <w:tab w:val="center" w:pos="4153"/>
        <w:tab w:val="right" w:pos="8306"/>
      </w:tabs>
      <w:rPr>
        <w:sz w:val="20"/>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1CE707A" w14:textId="77777777" w:rsidR="007B0C79" w:rsidRDefault="007B0C79">
    <w:pPr>
      <w:tabs>
        <w:tab w:val="center" w:pos="4153"/>
        <w:tab w:val="right" w:pos="8306"/>
      </w:tabs>
      <w:rPr>
        <w:sz w:val="20"/>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1CE707D" w14:textId="77777777" w:rsidR="007B0C79" w:rsidRDefault="007B0C79">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20"/>
  <w:displayHorizontalDrawingGridEvery w:val="0"/>
  <w:displayVerticalDrawingGridEvery w:val="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07CEE"/>
    <w:rsid w:val="003A7F9C"/>
    <w:rsid w:val="00516BB8"/>
    <w:rsid w:val="007B0C79"/>
    <w:rsid w:val="00B07CE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CE70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516BB8"/>
    <w:rPr>
      <w:rFonts w:ascii="Tahoma" w:hAnsi="Tahoma" w:cs="Tahoma"/>
      <w:sz w:val="16"/>
      <w:szCs w:val="16"/>
    </w:rPr>
  </w:style>
  <w:style w:type="character" w:customStyle="1" w:styleId="DebesliotekstasDiagrama">
    <w:name w:val="Debesėlio tekstas Diagrama"/>
    <w:basedOn w:val="Numatytasispastraiposriftas"/>
    <w:link w:val="Debesliotekstas"/>
    <w:rsid w:val="00516BB8"/>
    <w:rPr>
      <w:rFonts w:ascii="Tahoma" w:hAnsi="Tahoma" w:cs="Tahoma"/>
      <w:sz w:val="16"/>
      <w:szCs w:val="16"/>
    </w:rPr>
  </w:style>
  <w:style w:type="character" w:styleId="Vietosrezervavimoenklotekstas">
    <w:name w:val="Placeholder Text"/>
    <w:basedOn w:val="Numatytasispastraiposriftas"/>
    <w:rsid w:val="003A7F9C"/>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516BB8"/>
    <w:rPr>
      <w:rFonts w:ascii="Tahoma" w:hAnsi="Tahoma" w:cs="Tahoma"/>
      <w:sz w:val="16"/>
      <w:szCs w:val="16"/>
    </w:rPr>
  </w:style>
  <w:style w:type="character" w:customStyle="1" w:styleId="DebesliotekstasDiagrama">
    <w:name w:val="Debesėlio tekstas Diagrama"/>
    <w:basedOn w:val="Numatytasispastraiposriftas"/>
    <w:link w:val="Debesliotekstas"/>
    <w:rsid w:val="00516BB8"/>
    <w:rPr>
      <w:rFonts w:ascii="Tahoma" w:hAnsi="Tahoma" w:cs="Tahoma"/>
      <w:sz w:val="16"/>
      <w:szCs w:val="16"/>
    </w:rPr>
  </w:style>
  <w:style w:type="character" w:styleId="Vietosrezervavimoenklotekstas">
    <w:name w:val="Placeholder Text"/>
    <w:basedOn w:val="Numatytasispastraiposriftas"/>
    <w:rsid w:val="003A7F9C"/>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2489352">
      <w:bodyDiv w:val="1"/>
      <w:marLeft w:val="0"/>
      <w:marRight w:val="0"/>
      <w:marTop w:val="0"/>
      <w:marBottom w:val="0"/>
      <w:divBdr>
        <w:top w:val="none" w:sz="0" w:space="0" w:color="auto"/>
        <w:left w:val="none" w:sz="0" w:space="0" w:color="auto"/>
        <w:bottom w:val="none" w:sz="0" w:space="0" w:color="auto"/>
        <w:right w:val="none" w:sz="0" w:space="0" w:color="auto"/>
      </w:divBdr>
    </w:div>
    <w:div w:id="134640377">
      <w:bodyDiv w:val="1"/>
      <w:marLeft w:val="0"/>
      <w:marRight w:val="0"/>
      <w:marTop w:val="0"/>
      <w:marBottom w:val="0"/>
      <w:divBdr>
        <w:top w:val="none" w:sz="0" w:space="0" w:color="auto"/>
        <w:left w:val="none" w:sz="0" w:space="0" w:color="auto"/>
        <w:bottom w:val="none" w:sz="0" w:space="0" w:color="auto"/>
        <w:right w:val="none" w:sz="0" w:space="0" w:color="auto"/>
      </w:divBdr>
    </w:div>
    <w:div w:id="142890029">
      <w:bodyDiv w:val="1"/>
      <w:marLeft w:val="0"/>
      <w:marRight w:val="0"/>
      <w:marTop w:val="0"/>
      <w:marBottom w:val="0"/>
      <w:divBdr>
        <w:top w:val="none" w:sz="0" w:space="0" w:color="auto"/>
        <w:left w:val="none" w:sz="0" w:space="0" w:color="auto"/>
        <w:bottom w:val="none" w:sz="0" w:space="0" w:color="auto"/>
        <w:right w:val="none" w:sz="0" w:space="0" w:color="auto"/>
      </w:divBdr>
    </w:div>
    <w:div w:id="165286132">
      <w:bodyDiv w:val="1"/>
      <w:marLeft w:val="0"/>
      <w:marRight w:val="0"/>
      <w:marTop w:val="0"/>
      <w:marBottom w:val="0"/>
      <w:divBdr>
        <w:top w:val="none" w:sz="0" w:space="0" w:color="auto"/>
        <w:left w:val="none" w:sz="0" w:space="0" w:color="auto"/>
        <w:bottom w:val="none" w:sz="0" w:space="0" w:color="auto"/>
        <w:right w:val="none" w:sz="0" w:space="0" w:color="auto"/>
      </w:divBdr>
    </w:div>
    <w:div w:id="179317299">
      <w:bodyDiv w:val="1"/>
      <w:marLeft w:val="0"/>
      <w:marRight w:val="0"/>
      <w:marTop w:val="0"/>
      <w:marBottom w:val="0"/>
      <w:divBdr>
        <w:top w:val="none" w:sz="0" w:space="0" w:color="auto"/>
        <w:left w:val="none" w:sz="0" w:space="0" w:color="auto"/>
        <w:bottom w:val="none" w:sz="0" w:space="0" w:color="auto"/>
        <w:right w:val="none" w:sz="0" w:space="0" w:color="auto"/>
      </w:divBdr>
    </w:div>
    <w:div w:id="228001039">
      <w:bodyDiv w:val="1"/>
      <w:marLeft w:val="0"/>
      <w:marRight w:val="0"/>
      <w:marTop w:val="0"/>
      <w:marBottom w:val="0"/>
      <w:divBdr>
        <w:top w:val="none" w:sz="0" w:space="0" w:color="auto"/>
        <w:left w:val="none" w:sz="0" w:space="0" w:color="auto"/>
        <w:bottom w:val="none" w:sz="0" w:space="0" w:color="auto"/>
        <w:right w:val="none" w:sz="0" w:space="0" w:color="auto"/>
      </w:divBdr>
    </w:div>
    <w:div w:id="281503357">
      <w:bodyDiv w:val="1"/>
      <w:marLeft w:val="0"/>
      <w:marRight w:val="0"/>
      <w:marTop w:val="0"/>
      <w:marBottom w:val="0"/>
      <w:divBdr>
        <w:top w:val="none" w:sz="0" w:space="0" w:color="auto"/>
        <w:left w:val="none" w:sz="0" w:space="0" w:color="auto"/>
        <w:bottom w:val="none" w:sz="0" w:space="0" w:color="auto"/>
        <w:right w:val="none" w:sz="0" w:space="0" w:color="auto"/>
      </w:divBdr>
    </w:div>
    <w:div w:id="309673188">
      <w:bodyDiv w:val="1"/>
      <w:marLeft w:val="0"/>
      <w:marRight w:val="0"/>
      <w:marTop w:val="0"/>
      <w:marBottom w:val="0"/>
      <w:divBdr>
        <w:top w:val="none" w:sz="0" w:space="0" w:color="auto"/>
        <w:left w:val="none" w:sz="0" w:space="0" w:color="auto"/>
        <w:bottom w:val="none" w:sz="0" w:space="0" w:color="auto"/>
        <w:right w:val="none" w:sz="0" w:space="0" w:color="auto"/>
      </w:divBdr>
    </w:div>
    <w:div w:id="339818404">
      <w:bodyDiv w:val="1"/>
      <w:marLeft w:val="0"/>
      <w:marRight w:val="0"/>
      <w:marTop w:val="0"/>
      <w:marBottom w:val="0"/>
      <w:divBdr>
        <w:top w:val="none" w:sz="0" w:space="0" w:color="auto"/>
        <w:left w:val="none" w:sz="0" w:space="0" w:color="auto"/>
        <w:bottom w:val="none" w:sz="0" w:space="0" w:color="auto"/>
        <w:right w:val="none" w:sz="0" w:space="0" w:color="auto"/>
      </w:divBdr>
    </w:div>
    <w:div w:id="342053311">
      <w:bodyDiv w:val="1"/>
      <w:marLeft w:val="0"/>
      <w:marRight w:val="0"/>
      <w:marTop w:val="0"/>
      <w:marBottom w:val="0"/>
      <w:divBdr>
        <w:top w:val="none" w:sz="0" w:space="0" w:color="auto"/>
        <w:left w:val="none" w:sz="0" w:space="0" w:color="auto"/>
        <w:bottom w:val="none" w:sz="0" w:space="0" w:color="auto"/>
        <w:right w:val="none" w:sz="0" w:space="0" w:color="auto"/>
      </w:divBdr>
    </w:div>
    <w:div w:id="492911427">
      <w:bodyDiv w:val="1"/>
      <w:marLeft w:val="0"/>
      <w:marRight w:val="0"/>
      <w:marTop w:val="0"/>
      <w:marBottom w:val="0"/>
      <w:divBdr>
        <w:top w:val="none" w:sz="0" w:space="0" w:color="auto"/>
        <w:left w:val="none" w:sz="0" w:space="0" w:color="auto"/>
        <w:bottom w:val="none" w:sz="0" w:space="0" w:color="auto"/>
        <w:right w:val="none" w:sz="0" w:space="0" w:color="auto"/>
      </w:divBdr>
    </w:div>
    <w:div w:id="644167489">
      <w:bodyDiv w:val="1"/>
      <w:marLeft w:val="0"/>
      <w:marRight w:val="0"/>
      <w:marTop w:val="0"/>
      <w:marBottom w:val="0"/>
      <w:divBdr>
        <w:top w:val="none" w:sz="0" w:space="0" w:color="auto"/>
        <w:left w:val="none" w:sz="0" w:space="0" w:color="auto"/>
        <w:bottom w:val="none" w:sz="0" w:space="0" w:color="auto"/>
        <w:right w:val="none" w:sz="0" w:space="0" w:color="auto"/>
      </w:divBdr>
    </w:div>
    <w:div w:id="686372410">
      <w:bodyDiv w:val="1"/>
      <w:marLeft w:val="0"/>
      <w:marRight w:val="0"/>
      <w:marTop w:val="0"/>
      <w:marBottom w:val="0"/>
      <w:divBdr>
        <w:top w:val="none" w:sz="0" w:space="0" w:color="auto"/>
        <w:left w:val="none" w:sz="0" w:space="0" w:color="auto"/>
        <w:bottom w:val="none" w:sz="0" w:space="0" w:color="auto"/>
        <w:right w:val="none" w:sz="0" w:space="0" w:color="auto"/>
      </w:divBdr>
    </w:div>
    <w:div w:id="745345817">
      <w:bodyDiv w:val="1"/>
      <w:marLeft w:val="0"/>
      <w:marRight w:val="0"/>
      <w:marTop w:val="0"/>
      <w:marBottom w:val="0"/>
      <w:divBdr>
        <w:top w:val="none" w:sz="0" w:space="0" w:color="auto"/>
        <w:left w:val="none" w:sz="0" w:space="0" w:color="auto"/>
        <w:bottom w:val="none" w:sz="0" w:space="0" w:color="auto"/>
        <w:right w:val="none" w:sz="0" w:space="0" w:color="auto"/>
      </w:divBdr>
    </w:div>
    <w:div w:id="746002691">
      <w:bodyDiv w:val="1"/>
      <w:marLeft w:val="0"/>
      <w:marRight w:val="0"/>
      <w:marTop w:val="0"/>
      <w:marBottom w:val="0"/>
      <w:divBdr>
        <w:top w:val="none" w:sz="0" w:space="0" w:color="auto"/>
        <w:left w:val="none" w:sz="0" w:space="0" w:color="auto"/>
        <w:bottom w:val="none" w:sz="0" w:space="0" w:color="auto"/>
        <w:right w:val="none" w:sz="0" w:space="0" w:color="auto"/>
      </w:divBdr>
    </w:div>
    <w:div w:id="747574805">
      <w:bodyDiv w:val="1"/>
      <w:marLeft w:val="0"/>
      <w:marRight w:val="0"/>
      <w:marTop w:val="0"/>
      <w:marBottom w:val="0"/>
      <w:divBdr>
        <w:top w:val="none" w:sz="0" w:space="0" w:color="auto"/>
        <w:left w:val="none" w:sz="0" w:space="0" w:color="auto"/>
        <w:bottom w:val="none" w:sz="0" w:space="0" w:color="auto"/>
        <w:right w:val="none" w:sz="0" w:space="0" w:color="auto"/>
      </w:divBdr>
    </w:div>
    <w:div w:id="749617785">
      <w:bodyDiv w:val="1"/>
      <w:marLeft w:val="0"/>
      <w:marRight w:val="0"/>
      <w:marTop w:val="0"/>
      <w:marBottom w:val="0"/>
      <w:divBdr>
        <w:top w:val="none" w:sz="0" w:space="0" w:color="auto"/>
        <w:left w:val="none" w:sz="0" w:space="0" w:color="auto"/>
        <w:bottom w:val="none" w:sz="0" w:space="0" w:color="auto"/>
        <w:right w:val="none" w:sz="0" w:space="0" w:color="auto"/>
      </w:divBdr>
    </w:div>
    <w:div w:id="774206791">
      <w:bodyDiv w:val="1"/>
      <w:marLeft w:val="0"/>
      <w:marRight w:val="0"/>
      <w:marTop w:val="0"/>
      <w:marBottom w:val="0"/>
      <w:divBdr>
        <w:top w:val="none" w:sz="0" w:space="0" w:color="auto"/>
        <w:left w:val="none" w:sz="0" w:space="0" w:color="auto"/>
        <w:bottom w:val="none" w:sz="0" w:space="0" w:color="auto"/>
        <w:right w:val="none" w:sz="0" w:space="0" w:color="auto"/>
      </w:divBdr>
    </w:div>
    <w:div w:id="789327575">
      <w:bodyDiv w:val="1"/>
      <w:marLeft w:val="0"/>
      <w:marRight w:val="0"/>
      <w:marTop w:val="0"/>
      <w:marBottom w:val="0"/>
      <w:divBdr>
        <w:top w:val="none" w:sz="0" w:space="0" w:color="auto"/>
        <w:left w:val="none" w:sz="0" w:space="0" w:color="auto"/>
        <w:bottom w:val="none" w:sz="0" w:space="0" w:color="auto"/>
        <w:right w:val="none" w:sz="0" w:space="0" w:color="auto"/>
      </w:divBdr>
    </w:div>
    <w:div w:id="812869961">
      <w:bodyDiv w:val="1"/>
      <w:marLeft w:val="0"/>
      <w:marRight w:val="0"/>
      <w:marTop w:val="0"/>
      <w:marBottom w:val="0"/>
      <w:divBdr>
        <w:top w:val="none" w:sz="0" w:space="0" w:color="auto"/>
        <w:left w:val="none" w:sz="0" w:space="0" w:color="auto"/>
        <w:bottom w:val="none" w:sz="0" w:space="0" w:color="auto"/>
        <w:right w:val="none" w:sz="0" w:space="0" w:color="auto"/>
      </w:divBdr>
    </w:div>
    <w:div w:id="822894441">
      <w:bodyDiv w:val="1"/>
      <w:marLeft w:val="0"/>
      <w:marRight w:val="0"/>
      <w:marTop w:val="0"/>
      <w:marBottom w:val="0"/>
      <w:divBdr>
        <w:top w:val="none" w:sz="0" w:space="0" w:color="auto"/>
        <w:left w:val="none" w:sz="0" w:space="0" w:color="auto"/>
        <w:bottom w:val="none" w:sz="0" w:space="0" w:color="auto"/>
        <w:right w:val="none" w:sz="0" w:space="0" w:color="auto"/>
      </w:divBdr>
    </w:div>
    <w:div w:id="838665953">
      <w:bodyDiv w:val="1"/>
      <w:marLeft w:val="0"/>
      <w:marRight w:val="0"/>
      <w:marTop w:val="0"/>
      <w:marBottom w:val="0"/>
      <w:divBdr>
        <w:top w:val="none" w:sz="0" w:space="0" w:color="auto"/>
        <w:left w:val="none" w:sz="0" w:space="0" w:color="auto"/>
        <w:bottom w:val="none" w:sz="0" w:space="0" w:color="auto"/>
        <w:right w:val="none" w:sz="0" w:space="0" w:color="auto"/>
      </w:divBdr>
    </w:div>
    <w:div w:id="879394504">
      <w:bodyDiv w:val="1"/>
      <w:marLeft w:val="0"/>
      <w:marRight w:val="0"/>
      <w:marTop w:val="0"/>
      <w:marBottom w:val="0"/>
      <w:divBdr>
        <w:top w:val="none" w:sz="0" w:space="0" w:color="auto"/>
        <w:left w:val="none" w:sz="0" w:space="0" w:color="auto"/>
        <w:bottom w:val="none" w:sz="0" w:space="0" w:color="auto"/>
        <w:right w:val="none" w:sz="0" w:space="0" w:color="auto"/>
      </w:divBdr>
    </w:div>
    <w:div w:id="919604079">
      <w:bodyDiv w:val="1"/>
      <w:marLeft w:val="0"/>
      <w:marRight w:val="0"/>
      <w:marTop w:val="0"/>
      <w:marBottom w:val="0"/>
      <w:divBdr>
        <w:top w:val="none" w:sz="0" w:space="0" w:color="auto"/>
        <w:left w:val="none" w:sz="0" w:space="0" w:color="auto"/>
        <w:bottom w:val="none" w:sz="0" w:space="0" w:color="auto"/>
        <w:right w:val="none" w:sz="0" w:space="0" w:color="auto"/>
      </w:divBdr>
    </w:div>
    <w:div w:id="936910538">
      <w:bodyDiv w:val="1"/>
      <w:marLeft w:val="0"/>
      <w:marRight w:val="0"/>
      <w:marTop w:val="0"/>
      <w:marBottom w:val="0"/>
      <w:divBdr>
        <w:top w:val="none" w:sz="0" w:space="0" w:color="auto"/>
        <w:left w:val="none" w:sz="0" w:space="0" w:color="auto"/>
        <w:bottom w:val="none" w:sz="0" w:space="0" w:color="auto"/>
        <w:right w:val="none" w:sz="0" w:space="0" w:color="auto"/>
      </w:divBdr>
    </w:div>
    <w:div w:id="995761915">
      <w:bodyDiv w:val="1"/>
      <w:marLeft w:val="0"/>
      <w:marRight w:val="0"/>
      <w:marTop w:val="0"/>
      <w:marBottom w:val="0"/>
      <w:divBdr>
        <w:top w:val="none" w:sz="0" w:space="0" w:color="auto"/>
        <w:left w:val="none" w:sz="0" w:space="0" w:color="auto"/>
        <w:bottom w:val="none" w:sz="0" w:space="0" w:color="auto"/>
        <w:right w:val="none" w:sz="0" w:space="0" w:color="auto"/>
      </w:divBdr>
    </w:div>
    <w:div w:id="1032993849">
      <w:bodyDiv w:val="1"/>
      <w:marLeft w:val="0"/>
      <w:marRight w:val="0"/>
      <w:marTop w:val="0"/>
      <w:marBottom w:val="0"/>
      <w:divBdr>
        <w:top w:val="none" w:sz="0" w:space="0" w:color="auto"/>
        <w:left w:val="none" w:sz="0" w:space="0" w:color="auto"/>
        <w:bottom w:val="none" w:sz="0" w:space="0" w:color="auto"/>
        <w:right w:val="none" w:sz="0" w:space="0" w:color="auto"/>
      </w:divBdr>
    </w:div>
    <w:div w:id="1059330833">
      <w:bodyDiv w:val="1"/>
      <w:marLeft w:val="0"/>
      <w:marRight w:val="0"/>
      <w:marTop w:val="0"/>
      <w:marBottom w:val="0"/>
      <w:divBdr>
        <w:top w:val="none" w:sz="0" w:space="0" w:color="auto"/>
        <w:left w:val="none" w:sz="0" w:space="0" w:color="auto"/>
        <w:bottom w:val="none" w:sz="0" w:space="0" w:color="auto"/>
        <w:right w:val="none" w:sz="0" w:space="0" w:color="auto"/>
      </w:divBdr>
    </w:div>
    <w:div w:id="1106080380">
      <w:bodyDiv w:val="1"/>
      <w:marLeft w:val="0"/>
      <w:marRight w:val="0"/>
      <w:marTop w:val="0"/>
      <w:marBottom w:val="0"/>
      <w:divBdr>
        <w:top w:val="none" w:sz="0" w:space="0" w:color="auto"/>
        <w:left w:val="none" w:sz="0" w:space="0" w:color="auto"/>
        <w:bottom w:val="none" w:sz="0" w:space="0" w:color="auto"/>
        <w:right w:val="none" w:sz="0" w:space="0" w:color="auto"/>
      </w:divBdr>
    </w:div>
    <w:div w:id="1172140083">
      <w:bodyDiv w:val="1"/>
      <w:marLeft w:val="0"/>
      <w:marRight w:val="0"/>
      <w:marTop w:val="0"/>
      <w:marBottom w:val="0"/>
      <w:divBdr>
        <w:top w:val="none" w:sz="0" w:space="0" w:color="auto"/>
        <w:left w:val="none" w:sz="0" w:space="0" w:color="auto"/>
        <w:bottom w:val="none" w:sz="0" w:space="0" w:color="auto"/>
        <w:right w:val="none" w:sz="0" w:space="0" w:color="auto"/>
      </w:divBdr>
    </w:div>
    <w:div w:id="1227255366">
      <w:bodyDiv w:val="1"/>
      <w:marLeft w:val="0"/>
      <w:marRight w:val="0"/>
      <w:marTop w:val="0"/>
      <w:marBottom w:val="0"/>
      <w:divBdr>
        <w:top w:val="none" w:sz="0" w:space="0" w:color="auto"/>
        <w:left w:val="none" w:sz="0" w:space="0" w:color="auto"/>
        <w:bottom w:val="none" w:sz="0" w:space="0" w:color="auto"/>
        <w:right w:val="none" w:sz="0" w:space="0" w:color="auto"/>
      </w:divBdr>
    </w:div>
    <w:div w:id="1245065735">
      <w:bodyDiv w:val="1"/>
      <w:marLeft w:val="0"/>
      <w:marRight w:val="0"/>
      <w:marTop w:val="0"/>
      <w:marBottom w:val="0"/>
      <w:divBdr>
        <w:top w:val="none" w:sz="0" w:space="0" w:color="auto"/>
        <w:left w:val="none" w:sz="0" w:space="0" w:color="auto"/>
        <w:bottom w:val="none" w:sz="0" w:space="0" w:color="auto"/>
        <w:right w:val="none" w:sz="0" w:space="0" w:color="auto"/>
      </w:divBdr>
    </w:div>
    <w:div w:id="1325739731">
      <w:bodyDiv w:val="1"/>
      <w:marLeft w:val="0"/>
      <w:marRight w:val="0"/>
      <w:marTop w:val="0"/>
      <w:marBottom w:val="0"/>
      <w:divBdr>
        <w:top w:val="none" w:sz="0" w:space="0" w:color="auto"/>
        <w:left w:val="none" w:sz="0" w:space="0" w:color="auto"/>
        <w:bottom w:val="none" w:sz="0" w:space="0" w:color="auto"/>
        <w:right w:val="none" w:sz="0" w:space="0" w:color="auto"/>
      </w:divBdr>
    </w:div>
    <w:div w:id="1331714198">
      <w:bodyDiv w:val="1"/>
      <w:marLeft w:val="0"/>
      <w:marRight w:val="0"/>
      <w:marTop w:val="0"/>
      <w:marBottom w:val="0"/>
      <w:divBdr>
        <w:top w:val="none" w:sz="0" w:space="0" w:color="auto"/>
        <w:left w:val="none" w:sz="0" w:space="0" w:color="auto"/>
        <w:bottom w:val="none" w:sz="0" w:space="0" w:color="auto"/>
        <w:right w:val="none" w:sz="0" w:space="0" w:color="auto"/>
      </w:divBdr>
    </w:div>
    <w:div w:id="1418593887">
      <w:bodyDiv w:val="1"/>
      <w:marLeft w:val="0"/>
      <w:marRight w:val="0"/>
      <w:marTop w:val="0"/>
      <w:marBottom w:val="0"/>
      <w:divBdr>
        <w:top w:val="none" w:sz="0" w:space="0" w:color="auto"/>
        <w:left w:val="none" w:sz="0" w:space="0" w:color="auto"/>
        <w:bottom w:val="none" w:sz="0" w:space="0" w:color="auto"/>
        <w:right w:val="none" w:sz="0" w:space="0" w:color="auto"/>
      </w:divBdr>
    </w:div>
    <w:div w:id="1419671912">
      <w:bodyDiv w:val="1"/>
      <w:marLeft w:val="0"/>
      <w:marRight w:val="0"/>
      <w:marTop w:val="0"/>
      <w:marBottom w:val="0"/>
      <w:divBdr>
        <w:top w:val="none" w:sz="0" w:space="0" w:color="auto"/>
        <w:left w:val="none" w:sz="0" w:space="0" w:color="auto"/>
        <w:bottom w:val="none" w:sz="0" w:space="0" w:color="auto"/>
        <w:right w:val="none" w:sz="0" w:space="0" w:color="auto"/>
      </w:divBdr>
    </w:div>
    <w:div w:id="1429235558">
      <w:bodyDiv w:val="1"/>
      <w:marLeft w:val="0"/>
      <w:marRight w:val="0"/>
      <w:marTop w:val="0"/>
      <w:marBottom w:val="0"/>
      <w:divBdr>
        <w:top w:val="none" w:sz="0" w:space="0" w:color="auto"/>
        <w:left w:val="none" w:sz="0" w:space="0" w:color="auto"/>
        <w:bottom w:val="none" w:sz="0" w:space="0" w:color="auto"/>
        <w:right w:val="none" w:sz="0" w:space="0" w:color="auto"/>
      </w:divBdr>
    </w:div>
    <w:div w:id="1459684966">
      <w:bodyDiv w:val="1"/>
      <w:marLeft w:val="0"/>
      <w:marRight w:val="0"/>
      <w:marTop w:val="0"/>
      <w:marBottom w:val="0"/>
      <w:divBdr>
        <w:top w:val="none" w:sz="0" w:space="0" w:color="auto"/>
        <w:left w:val="none" w:sz="0" w:space="0" w:color="auto"/>
        <w:bottom w:val="none" w:sz="0" w:space="0" w:color="auto"/>
        <w:right w:val="none" w:sz="0" w:space="0" w:color="auto"/>
      </w:divBdr>
    </w:div>
    <w:div w:id="1493763711">
      <w:bodyDiv w:val="1"/>
      <w:marLeft w:val="0"/>
      <w:marRight w:val="0"/>
      <w:marTop w:val="0"/>
      <w:marBottom w:val="0"/>
      <w:divBdr>
        <w:top w:val="none" w:sz="0" w:space="0" w:color="auto"/>
        <w:left w:val="none" w:sz="0" w:space="0" w:color="auto"/>
        <w:bottom w:val="none" w:sz="0" w:space="0" w:color="auto"/>
        <w:right w:val="none" w:sz="0" w:space="0" w:color="auto"/>
      </w:divBdr>
    </w:div>
    <w:div w:id="1530337444">
      <w:bodyDiv w:val="1"/>
      <w:marLeft w:val="0"/>
      <w:marRight w:val="0"/>
      <w:marTop w:val="0"/>
      <w:marBottom w:val="0"/>
      <w:divBdr>
        <w:top w:val="none" w:sz="0" w:space="0" w:color="auto"/>
        <w:left w:val="none" w:sz="0" w:space="0" w:color="auto"/>
        <w:bottom w:val="none" w:sz="0" w:space="0" w:color="auto"/>
        <w:right w:val="none" w:sz="0" w:space="0" w:color="auto"/>
      </w:divBdr>
    </w:div>
    <w:div w:id="1538085303">
      <w:bodyDiv w:val="1"/>
      <w:marLeft w:val="0"/>
      <w:marRight w:val="0"/>
      <w:marTop w:val="0"/>
      <w:marBottom w:val="0"/>
      <w:divBdr>
        <w:top w:val="none" w:sz="0" w:space="0" w:color="auto"/>
        <w:left w:val="none" w:sz="0" w:space="0" w:color="auto"/>
        <w:bottom w:val="none" w:sz="0" w:space="0" w:color="auto"/>
        <w:right w:val="none" w:sz="0" w:space="0" w:color="auto"/>
      </w:divBdr>
    </w:div>
    <w:div w:id="1575624083">
      <w:bodyDiv w:val="1"/>
      <w:marLeft w:val="0"/>
      <w:marRight w:val="0"/>
      <w:marTop w:val="0"/>
      <w:marBottom w:val="0"/>
      <w:divBdr>
        <w:top w:val="none" w:sz="0" w:space="0" w:color="auto"/>
        <w:left w:val="none" w:sz="0" w:space="0" w:color="auto"/>
        <w:bottom w:val="none" w:sz="0" w:space="0" w:color="auto"/>
        <w:right w:val="none" w:sz="0" w:space="0" w:color="auto"/>
      </w:divBdr>
    </w:div>
    <w:div w:id="1581063929">
      <w:bodyDiv w:val="1"/>
      <w:marLeft w:val="0"/>
      <w:marRight w:val="0"/>
      <w:marTop w:val="0"/>
      <w:marBottom w:val="0"/>
      <w:divBdr>
        <w:top w:val="none" w:sz="0" w:space="0" w:color="auto"/>
        <w:left w:val="none" w:sz="0" w:space="0" w:color="auto"/>
        <w:bottom w:val="none" w:sz="0" w:space="0" w:color="auto"/>
        <w:right w:val="none" w:sz="0" w:space="0" w:color="auto"/>
      </w:divBdr>
    </w:div>
    <w:div w:id="1607352034">
      <w:bodyDiv w:val="1"/>
      <w:marLeft w:val="0"/>
      <w:marRight w:val="0"/>
      <w:marTop w:val="0"/>
      <w:marBottom w:val="0"/>
      <w:divBdr>
        <w:top w:val="none" w:sz="0" w:space="0" w:color="auto"/>
        <w:left w:val="none" w:sz="0" w:space="0" w:color="auto"/>
        <w:bottom w:val="none" w:sz="0" w:space="0" w:color="auto"/>
        <w:right w:val="none" w:sz="0" w:space="0" w:color="auto"/>
      </w:divBdr>
    </w:div>
    <w:div w:id="1628511736">
      <w:bodyDiv w:val="1"/>
      <w:marLeft w:val="0"/>
      <w:marRight w:val="0"/>
      <w:marTop w:val="0"/>
      <w:marBottom w:val="0"/>
      <w:divBdr>
        <w:top w:val="none" w:sz="0" w:space="0" w:color="auto"/>
        <w:left w:val="none" w:sz="0" w:space="0" w:color="auto"/>
        <w:bottom w:val="none" w:sz="0" w:space="0" w:color="auto"/>
        <w:right w:val="none" w:sz="0" w:space="0" w:color="auto"/>
      </w:divBdr>
    </w:div>
    <w:div w:id="1655178914">
      <w:bodyDiv w:val="1"/>
      <w:marLeft w:val="0"/>
      <w:marRight w:val="0"/>
      <w:marTop w:val="0"/>
      <w:marBottom w:val="0"/>
      <w:divBdr>
        <w:top w:val="none" w:sz="0" w:space="0" w:color="auto"/>
        <w:left w:val="none" w:sz="0" w:space="0" w:color="auto"/>
        <w:bottom w:val="none" w:sz="0" w:space="0" w:color="auto"/>
        <w:right w:val="none" w:sz="0" w:space="0" w:color="auto"/>
      </w:divBdr>
    </w:div>
    <w:div w:id="1669214892">
      <w:bodyDiv w:val="1"/>
      <w:marLeft w:val="0"/>
      <w:marRight w:val="0"/>
      <w:marTop w:val="0"/>
      <w:marBottom w:val="0"/>
      <w:divBdr>
        <w:top w:val="none" w:sz="0" w:space="0" w:color="auto"/>
        <w:left w:val="none" w:sz="0" w:space="0" w:color="auto"/>
        <w:bottom w:val="none" w:sz="0" w:space="0" w:color="auto"/>
        <w:right w:val="none" w:sz="0" w:space="0" w:color="auto"/>
      </w:divBdr>
    </w:div>
    <w:div w:id="1689405672">
      <w:bodyDiv w:val="1"/>
      <w:marLeft w:val="0"/>
      <w:marRight w:val="0"/>
      <w:marTop w:val="0"/>
      <w:marBottom w:val="0"/>
      <w:divBdr>
        <w:top w:val="none" w:sz="0" w:space="0" w:color="auto"/>
        <w:left w:val="none" w:sz="0" w:space="0" w:color="auto"/>
        <w:bottom w:val="none" w:sz="0" w:space="0" w:color="auto"/>
        <w:right w:val="none" w:sz="0" w:space="0" w:color="auto"/>
      </w:divBdr>
    </w:div>
    <w:div w:id="1695111358">
      <w:bodyDiv w:val="1"/>
      <w:marLeft w:val="0"/>
      <w:marRight w:val="0"/>
      <w:marTop w:val="0"/>
      <w:marBottom w:val="0"/>
      <w:divBdr>
        <w:top w:val="none" w:sz="0" w:space="0" w:color="auto"/>
        <w:left w:val="none" w:sz="0" w:space="0" w:color="auto"/>
        <w:bottom w:val="none" w:sz="0" w:space="0" w:color="auto"/>
        <w:right w:val="none" w:sz="0" w:space="0" w:color="auto"/>
      </w:divBdr>
    </w:div>
    <w:div w:id="1773672033">
      <w:bodyDiv w:val="1"/>
      <w:marLeft w:val="0"/>
      <w:marRight w:val="0"/>
      <w:marTop w:val="0"/>
      <w:marBottom w:val="0"/>
      <w:divBdr>
        <w:top w:val="none" w:sz="0" w:space="0" w:color="auto"/>
        <w:left w:val="none" w:sz="0" w:space="0" w:color="auto"/>
        <w:bottom w:val="none" w:sz="0" w:space="0" w:color="auto"/>
        <w:right w:val="none" w:sz="0" w:space="0" w:color="auto"/>
      </w:divBdr>
    </w:div>
    <w:div w:id="1848862307">
      <w:bodyDiv w:val="1"/>
      <w:marLeft w:val="0"/>
      <w:marRight w:val="0"/>
      <w:marTop w:val="0"/>
      <w:marBottom w:val="0"/>
      <w:divBdr>
        <w:top w:val="none" w:sz="0" w:space="0" w:color="auto"/>
        <w:left w:val="none" w:sz="0" w:space="0" w:color="auto"/>
        <w:bottom w:val="none" w:sz="0" w:space="0" w:color="auto"/>
        <w:right w:val="none" w:sz="0" w:space="0" w:color="auto"/>
      </w:divBdr>
    </w:div>
    <w:div w:id="1863010004">
      <w:bodyDiv w:val="1"/>
      <w:marLeft w:val="0"/>
      <w:marRight w:val="0"/>
      <w:marTop w:val="0"/>
      <w:marBottom w:val="0"/>
      <w:divBdr>
        <w:top w:val="none" w:sz="0" w:space="0" w:color="auto"/>
        <w:left w:val="none" w:sz="0" w:space="0" w:color="auto"/>
        <w:bottom w:val="none" w:sz="0" w:space="0" w:color="auto"/>
        <w:right w:val="none" w:sz="0" w:space="0" w:color="auto"/>
      </w:divBdr>
    </w:div>
    <w:div w:id="1876581418">
      <w:bodyDiv w:val="1"/>
      <w:marLeft w:val="0"/>
      <w:marRight w:val="0"/>
      <w:marTop w:val="0"/>
      <w:marBottom w:val="0"/>
      <w:divBdr>
        <w:top w:val="none" w:sz="0" w:space="0" w:color="auto"/>
        <w:left w:val="none" w:sz="0" w:space="0" w:color="auto"/>
        <w:bottom w:val="none" w:sz="0" w:space="0" w:color="auto"/>
        <w:right w:val="none" w:sz="0" w:space="0" w:color="auto"/>
      </w:divBdr>
    </w:div>
    <w:div w:id="1941450461">
      <w:bodyDiv w:val="1"/>
      <w:marLeft w:val="0"/>
      <w:marRight w:val="0"/>
      <w:marTop w:val="0"/>
      <w:marBottom w:val="0"/>
      <w:divBdr>
        <w:top w:val="none" w:sz="0" w:space="0" w:color="auto"/>
        <w:left w:val="none" w:sz="0" w:space="0" w:color="auto"/>
        <w:bottom w:val="none" w:sz="0" w:space="0" w:color="auto"/>
        <w:right w:val="none" w:sz="0" w:space="0" w:color="auto"/>
      </w:divBdr>
    </w:div>
    <w:div w:id="1947730920">
      <w:bodyDiv w:val="1"/>
      <w:marLeft w:val="0"/>
      <w:marRight w:val="0"/>
      <w:marTop w:val="0"/>
      <w:marBottom w:val="0"/>
      <w:divBdr>
        <w:top w:val="none" w:sz="0" w:space="0" w:color="auto"/>
        <w:left w:val="none" w:sz="0" w:space="0" w:color="auto"/>
        <w:bottom w:val="none" w:sz="0" w:space="0" w:color="auto"/>
        <w:right w:val="none" w:sz="0" w:space="0" w:color="auto"/>
      </w:divBdr>
    </w:div>
    <w:div w:id="1954627115">
      <w:bodyDiv w:val="1"/>
      <w:marLeft w:val="0"/>
      <w:marRight w:val="0"/>
      <w:marTop w:val="0"/>
      <w:marBottom w:val="0"/>
      <w:divBdr>
        <w:top w:val="none" w:sz="0" w:space="0" w:color="auto"/>
        <w:left w:val="none" w:sz="0" w:space="0" w:color="auto"/>
        <w:bottom w:val="none" w:sz="0" w:space="0" w:color="auto"/>
        <w:right w:val="none" w:sz="0" w:space="0" w:color="auto"/>
      </w:divBdr>
    </w:div>
    <w:div w:id="1970746271">
      <w:bodyDiv w:val="1"/>
      <w:marLeft w:val="0"/>
      <w:marRight w:val="0"/>
      <w:marTop w:val="0"/>
      <w:marBottom w:val="0"/>
      <w:divBdr>
        <w:top w:val="none" w:sz="0" w:space="0" w:color="auto"/>
        <w:left w:val="none" w:sz="0" w:space="0" w:color="auto"/>
        <w:bottom w:val="none" w:sz="0" w:space="0" w:color="auto"/>
        <w:right w:val="none" w:sz="0" w:space="0" w:color="auto"/>
      </w:divBdr>
    </w:div>
    <w:div w:id="2020231871">
      <w:bodyDiv w:val="1"/>
      <w:marLeft w:val="0"/>
      <w:marRight w:val="0"/>
      <w:marTop w:val="0"/>
      <w:marBottom w:val="0"/>
      <w:divBdr>
        <w:top w:val="none" w:sz="0" w:space="0" w:color="auto"/>
        <w:left w:val="none" w:sz="0" w:space="0" w:color="auto"/>
        <w:bottom w:val="none" w:sz="0" w:space="0" w:color="auto"/>
        <w:right w:val="none" w:sz="0" w:space="0" w:color="auto"/>
      </w:divBdr>
    </w:div>
    <w:div w:id="2144612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A0135"/>
    <w:rsid w:val="00FA013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A0135"/>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A0135"/>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Title="DĖL JONIŠKIO RAJONO SAVIVALDYBĖS TARYBOS 2013 M. GEGUŽĖS 30 D. SPRENDIMO NR. T-85 „DĖL DIENOS IR TRUMPALAIKĖS SOCIALINĖS GLOBOS NEĮGALIEMS ASMENIMS TEIKIMO IR MOKĖJIMO UŽ PASLAUGAS TVARKOS APRAŠO PATVIRTINIMO“ PAKEITIMO" DocPartId="47a625052fd34ddd9bde2ac4676bed40" PartId="16edf04d41a44f39a36f4cb6ede95665">
    <Part Type="preambule" DocPartId="f184c53799994915b63a97459e8849c2" PartId="eb76b6b4dde34552b9849aefd434e3fa"/>
    <Part Type="pastraipa" DocPartId="9f284b78908c4361910ced3a969ae0f7" PartId="b615db58ea2346e7aa5635591c58bb77">
      <Part Type="citata" DocPartId="a3bdf4e1369b4ca8932c3177a6e59a5c" PartId="da480de4ad7d445482c07e5fd4040a6d">
        <Part Type="punktas" Nr="21" Abbr="21 p." DocPartId="62b0e0e33a35474388fe18ec9ee51e4c" PartId="c54598b9110e4f018789161786bdcf44">
          <Part Type="punktas" Nr="21.1" Abbr="21.1 p." DocPartId="ab4015038dc6402e8e016836e794a9e7" PartId="a731d9c27d94415ba27238a51f1c0912"/>
          <Part Type="punktas" Nr="21.2" Abbr="21.2 p." DocPartId="7d69472b94ab458b940d8a9d0f0be4fb" PartId="cea5f1ec6ebe4c3587aecb29d6625870"/>
          <Part Type="punktas" Nr="21.3" Abbr="21.3 p." DocPartId="130530fb17ca46d6b5cd604b48a4e489" PartId="45b7d675ac3e482e9b50531c4bafacde"/>
          <Part Type="punktas" Nr="21.4" Abbr="21.4 p." DocPartId="550970b1a63348759ae8ae26bae3a901" PartId="60e12c9d71184553a0c3f1c37c9b7747"/>
        </Part>
      </Part>
    </Part>
    <Part Type="signatura" DocPartId="1d1c1646e3e14a02a2b19bf16f65e7bd" PartId="98e5ae0765724bdd8894d638099079c5"/>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D794987-08AA-4119-872D-5A53F54FD4B2}">
  <ds:schemaRefs>
    <ds:schemaRef ds:uri="http://lrs.lt/TAIS/DocParts"/>
  </ds:schemaRefs>
</ds:datastoreItem>
</file>

<file path=customXml/itemProps2.xml><?xml version="1.0" encoding="utf-8"?>
<ds:datastoreItem xmlns:ds="http://schemas.openxmlformats.org/officeDocument/2006/customXml" ds:itemID="{F3F56A9E-98EF-4CAB-A0A3-2AC3925B9C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Pages>
  <Words>325</Words>
  <Characters>2161</Characters>
  <Application>Microsoft Office Word</Application>
  <DocSecurity>0</DocSecurity>
  <Lines>18</Lines>
  <Paragraphs>4</Paragraphs>
  <ScaleCrop>false</ScaleCrop>
  <HeadingPairs>
    <vt:vector size="2" baseType="variant">
      <vt:variant>
        <vt:lpstr>Title</vt:lpstr>
      </vt:variant>
      <vt:variant>
        <vt:i4>1</vt:i4>
      </vt:variant>
    </vt:vector>
  </HeadingPairs>
  <TitlesOfParts>
    <vt:vector size="1" baseType="lpstr">
      <vt:lpstr>DĖL JONIŠKIO RAJONO SAVIVALDYBĖS ADMINISTRACIJOS</vt:lpstr>
    </vt:vector>
  </TitlesOfParts>
  <Company>Joniskio r. savivaldybe</Company>
  <LinksUpToDate>false</LinksUpToDate>
  <CharactersWithSpaces>2482</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DĖL JONIŠKIO RAJONO SAVIVALDYBĖS ADMINISTRACIJOS</dc:title>
  <dc:creator>Laimute Vasiliauskiene</dc:creator>
  <cp:lastModifiedBy>OSINOVSKAS Egidijus</cp:lastModifiedBy>
  <cp:revision>4</cp:revision>
  <cp:lastPrinted>2014-03-04T09:11:00Z</cp:lastPrinted>
  <dcterms:created xsi:type="dcterms:W3CDTF">2015-02-17T09:54:00Z</dcterms:created>
  <dcterms:modified xsi:type="dcterms:W3CDTF">2015-11-18T11:30:00Z</dcterms:modified>
</cp:coreProperties>
</file>