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596C093" wp14:editId="73668AC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BIUDŽETO SANDAROS ĮSTATYMO NR. I-430 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gegužės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XIII-2904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 straipsnio pakeitimas</w:t>
      </w:r>
    </w:p>
    <w:p>
      <w:pPr>
        <w:widowControl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 straipsnio 3 dalies 3 punktą ir jį išdėstyti taip:</w:t>
      </w:r>
    </w:p>
    <w:p>
      <w:pPr>
        <w:widowControl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color w:val="000000"/>
          <w:szCs w:val="24"/>
        </w:rPr>
        <w:t xml:space="preserve">) Lietuvos Respublikos Konstitucinis Teismas, teismai, Nacionalinė teismų administracija, Lietuvos Respublikos generalinė prokuratūra, </w:t>
      </w:r>
      <w:r>
        <w:rPr>
          <w:szCs w:val="24"/>
        </w:rPr>
        <w:t>Lietuvos Respublikos vadovybės apsaugos tarnyba</w:t>
      </w:r>
      <w:r>
        <w:rPr>
          <w:color w:val="000000"/>
          <w:szCs w:val="24"/>
        </w:rPr>
        <w:t>, Lietuvos administracinių ginčų komisija, Mokestinių ginčų komisija prie Lietuvos Respublikos Vyriausybės;</w:t>
      </w:r>
      <w:r>
        <w:rPr>
          <w:szCs w:val="24"/>
        </w:rPr>
        <w:t>“.</w:t>
      </w:r>
    </w:p>
    <w:p>
      <w:pPr>
        <w:widowControl w:val="0"/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2020 m. liepos 1 d.</w:t>
      </w:r>
    </w:p>
    <w:p>
      <w:pPr>
        <w:ind w:right="26" w:firstLine="782"/>
        <w:jc w:val="both"/>
        <w:rPr>
          <w:rFonts w:ascii="TimesLT" w:hAnsi="TimesLT"/>
          <w:szCs w:val="24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632</Characters>
  <Application>Microsoft Office Word</Application>
  <DocSecurity>4</DocSecurity>
  <Lines>27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707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2020-05-22T09:34:00Z</dcterms:created>
  <dc:creator>MOZERIENĖ Dainora</dc:creator>
  <lastModifiedBy>adlibuser</lastModifiedBy>
  <lastPrinted>2004-12-10T05:45:00Z</lastPrinted>
  <dcterms:modified xsi:type="dcterms:W3CDTF">2020-05-22T09:34:00Z</dcterms:modified>
  <revision>2</revision>
</coreProperties>
</file>