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8613da6c3b34af385469b879866add2"/>
        <w:id w:val="817919097"/>
        <w:lock w:val="sdtLocked"/>
      </w:sdtPr>
      <w:sdtEndPr/>
      <w:sdtContent>
        <w:p w:rsidR="00446D2B" w:rsidRDefault="004B3376">
          <w:pPr>
            <w:suppressAutoHyphens/>
            <w:jc w:val="center"/>
            <w:rPr>
              <w:b/>
              <w:bCs/>
              <w:lang w:eastAsia="lt-LT"/>
            </w:rPr>
          </w:pPr>
          <w:r>
            <w:rPr>
              <w:noProof/>
              <w:lang w:eastAsia="lt-LT"/>
            </w:rPr>
            <w:drawing>
              <wp:inline distT="0" distB="0" distL="0" distR="0" wp14:anchorId="70F65A64" wp14:editId="35F691E9">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446D2B" w:rsidRDefault="00446D2B">
          <w:pPr>
            <w:rPr>
              <w:sz w:val="10"/>
              <w:szCs w:val="10"/>
            </w:rPr>
          </w:pPr>
        </w:p>
        <w:p w:rsidR="00446D2B" w:rsidRDefault="004B3376">
          <w:pPr>
            <w:suppressAutoHyphens/>
            <w:jc w:val="center"/>
            <w:rPr>
              <w:b/>
              <w:bCs/>
              <w:lang w:eastAsia="lt-LT"/>
            </w:rPr>
          </w:pPr>
          <w:r>
            <w:rPr>
              <w:b/>
              <w:bCs/>
              <w:lang w:eastAsia="lt-LT"/>
            </w:rPr>
            <w:t>LIETUVOS RESPUBLIKOS APLINKOS MINISTRAS</w:t>
          </w:r>
        </w:p>
        <w:p w:rsidR="00446D2B" w:rsidRDefault="00446D2B">
          <w:pPr>
            <w:rPr>
              <w:sz w:val="6"/>
              <w:szCs w:val="6"/>
            </w:rPr>
          </w:pPr>
        </w:p>
        <w:p w:rsidR="00446D2B" w:rsidRDefault="00446D2B">
          <w:pPr>
            <w:suppressAutoHyphens/>
            <w:jc w:val="center"/>
            <w:rPr>
              <w:b/>
              <w:bCs/>
              <w:lang w:eastAsia="lt-LT"/>
            </w:rPr>
          </w:pPr>
        </w:p>
        <w:p w:rsidR="00446D2B" w:rsidRDefault="00446D2B">
          <w:pPr>
            <w:rPr>
              <w:sz w:val="6"/>
              <w:szCs w:val="6"/>
            </w:rPr>
          </w:pPr>
        </w:p>
        <w:p w:rsidR="00446D2B" w:rsidRDefault="004B3376">
          <w:pPr>
            <w:suppressAutoHyphens/>
            <w:jc w:val="center"/>
            <w:rPr>
              <w:b/>
              <w:szCs w:val="24"/>
              <w:lang w:eastAsia="lt-LT"/>
            </w:rPr>
          </w:pPr>
          <w:r>
            <w:rPr>
              <w:b/>
              <w:szCs w:val="24"/>
              <w:lang w:eastAsia="lt-LT"/>
            </w:rPr>
            <w:t>ĮSAKYMAS</w:t>
          </w:r>
        </w:p>
        <w:p w:rsidR="00446D2B" w:rsidRDefault="004B3376">
          <w:pPr>
            <w:suppressAutoHyphens/>
            <w:jc w:val="center"/>
            <w:rPr>
              <w:b/>
              <w:szCs w:val="24"/>
              <w:lang w:eastAsia="lt-LT"/>
            </w:rPr>
          </w:pPr>
          <w:r>
            <w:rPr>
              <w:b/>
              <w:szCs w:val="24"/>
              <w:lang w:eastAsia="lt-LT"/>
            </w:rPr>
            <w:t xml:space="preserve">DĖL </w:t>
          </w:r>
          <w:r>
            <w:rPr>
              <w:b/>
              <w:bCs/>
              <w:szCs w:val="24"/>
              <w:lang w:eastAsia="lt-LT"/>
            </w:rPr>
            <w:t xml:space="preserve">LIETUVOS RESPUBLIKOS APLINKOS MINISTRO </w:t>
          </w:r>
          <w:r>
            <w:rPr>
              <w:b/>
              <w:szCs w:val="24"/>
              <w:lang w:eastAsia="lt-LT"/>
            </w:rPr>
            <w:t>2004 M. BALANDŽIO 15 D. ĮSAKYMO NR. D1-187 „</w:t>
          </w:r>
          <w:r>
            <w:rPr>
              <w:b/>
              <w:bCs/>
              <w:szCs w:val="24"/>
              <w:lang w:eastAsia="lt-LT"/>
            </w:rPr>
            <w:t xml:space="preserve">DĖL </w:t>
          </w:r>
          <w:r>
            <w:rPr>
              <w:b/>
              <w:caps/>
              <w:szCs w:val="24"/>
              <w:lang w:eastAsia="lt-LT"/>
            </w:rPr>
            <w:t xml:space="preserve">Aplinkosaugos sąlygų plaukioti </w:t>
          </w:r>
          <w:r>
            <w:rPr>
              <w:b/>
              <w:caps/>
              <w:szCs w:val="24"/>
              <w:lang w:eastAsia="lt-LT"/>
            </w:rPr>
            <w:t>PAVIRŠINIUOSE vandens telkiniuose plaukiojimo priemonėmis ir plūduriuojančių priemonių įrengimo ir naudojimo, jų statymo ir (arba) švartavimo aplinkosauginių reikalavimų patvirtinimo</w:t>
          </w:r>
          <w:r>
            <w:rPr>
              <w:b/>
              <w:szCs w:val="24"/>
              <w:lang w:eastAsia="lt-LT"/>
            </w:rPr>
            <w:t>“ PAKEITIMO</w:t>
          </w:r>
        </w:p>
        <w:p w:rsidR="00446D2B" w:rsidRDefault="00446D2B">
          <w:pPr>
            <w:suppressAutoHyphens/>
            <w:jc w:val="center"/>
            <w:rPr>
              <w:b/>
              <w:lang w:eastAsia="lt-LT"/>
            </w:rPr>
          </w:pPr>
        </w:p>
        <w:p w:rsidR="00446D2B" w:rsidRDefault="004B3376">
          <w:pPr>
            <w:suppressAutoHyphens/>
            <w:jc w:val="center"/>
            <w:rPr>
              <w:lang w:eastAsia="lt-LT"/>
            </w:rPr>
          </w:pPr>
          <w:r>
            <w:rPr>
              <w:lang w:eastAsia="lt-LT"/>
            </w:rPr>
            <w:t>2022 m. birželio 21</w:t>
          </w:r>
          <w:r>
            <w:rPr>
              <w:lang w:eastAsia="lt-LT"/>
            </w:rPr>
            <w:t xml:space="preserve"> d. Nr. D1-201</w:t>
          </w:r>
        </w:p>
        <w:p w:rsidR="004B3376" w:rsidRDefault="004B3376">
          <w:pPr>
            <w:suppressAutoHyphens/>
            <w:jc w:val="center"/>
            <w:rPr>
              <w:lang w:eastAsia="lt-LT"/>
            </w:rPr>
          </w:pPr>
          <w:r>
            <w:rPr>
              <w:lang w:eastAsia="lt-LT"/>
            </w:rPr>
            <w:t>Vilnius</w:t>
          </w:r>
        </w:p>
        <w:p w:rsidR="00446D2B" w:rsidRDefault="00446D2B">
          <w:pPr>
            <w:suppressAutoHyphens/>
            <w:jc w:val="center"/>
            <w:rPr>
              <w:lang w:eastAsia="lt-LT"/>
            </w:rPr>
          </w:pPr>
        </w:p>
        <w:p w:rsidR="00446D2B" w:rsidRDefault="00446D2B">
          <w:pPr>
            <w:suppressAutoHyphens/>
            <w:jc w:val="center"/>
            <w:rPr>
              <w:lang w:eastAsia="lt-LT"/>
            </w:rPr>
          </w:pPr>
        </w:p>
        <w:p w:rsidR="00446D2B" w:rsidRDefault="00446D2B">
          <w:pPr>
            <w:suppressAutoHyphens/>
            <w:jc w:val="center"/>
            <w:rPr>
              <w:lang w:eastAsia="lt-LT"/>
            </w:rPr>
            <w:sectPr w:rsidR="00446D2B">
              <w:headerReference w:type="even" r:id="rId12"/>
              <w:headerReference w:type="default" r:id="rId13"/>
              <w:footerReference w:type="even" r:id="rId14"/>
              <w:footerReference w:type="default" r:id="rId15"/>
              <w:headerReference w:type="first" r:id="rId16"/>
              <w:footerReference w:type="first" r:id="rId17"/>
              <w:footnotePr>
                <w:pos w:val="beneathText"/>
              </w:footnotePr>
              <w:pgSz w:w="11905" w:h="16837" w:code="9"/>
              <w:pgMar w:top="1134" w:right="567" w:bottom="1134" w:left="1701" w:header="170" w:footer="919" w:gutter="0"/>
              <w:cols w:space="1296"/>
              <w:docGrid w:linePitch="360"/>
            </w:sectPr>
          </w:pPr>
        </w:p>
        <w:p w:rsidR="00446D2B" w:rsidRDefault="00446D2B">
          <w:pPr>
            <w:suppressAutoHyphens/>
            <w:jc w:val="center"/>
            <w:rPr>
              <w:rFonts w:ascii="Arial" w:hAnsi="Arial"/>
              <w:spacing w:val="8"/>
              <w:lang w:eastAsia="lt-LT"/>
            </w:rPr>
          </w:pPr>
        </w:p>
        <w:sdt>
          <w:sdtPr>
            <w:alias w:val="1 p."/>
            <w:tag w:val="part_8b9b1f1da14f49308dd6ad9071adba35"/>
            <w:id w:val="-465977170"/>
            <w:lock w:val="sdtLocked"/>
          </w:sdtPr>
          <w:sdtEndPr/>
          <w:sdtContent>
            <w:p w:rsidR="00446D2B" w:rsidRDefault="004B3376">
              <w:pPr>
                <w:suppressAutoHyphens/>
                <w:ind w:firstLine="567"/>
                <w:jc w:val="both"/>
                <w:rPr>
                  <w:rFonts w:eastAsia="Andale Sans UI"/>
                  <w:szCs w:val="24"/>
                  <w:lang w:eastAsia="lt-LT"/>
                </w:rPr>
              </w:pPr>
              <w:sdt>
                <w:sdtPr>
                  <w:alias w:val="Numeris"/>
                  <w:tag w:val="nr_8b9b1f1da14f49308dd6ad9071adba35"/>
                  <w:id w:val="-511455134"/>
                  <w:lock w:val="sdtLocked"/>
                </w:sdtPr>
                <w:sdtEndPr/>
                <w:sdtContent>
                  <w:r>
                    <w:rPr>
                      <w:rFonts w:eastAsia="Andale Sans UI"/>
                      <w:szCs w:val="24"/>
                      <w:lang w:eastAsia="lt-LT"/>
                    </w:rPr>
                    <w:t>1</w:t>
                  </w:r>
                </w:sdtContent>
              </w:sdt>
              <w:r>
                <w:rPr>
                  <w:rFonts w:eastAsia="Andale Sans UI"/>
                  <w:szCs w:val="24"/>
                  <w:lang w:eastAsia="lt-LT"/>
                </w:rPr>
                <w:t xml:space="preserve">. P a k e i č i u Aplinkosaugos sąlygų plaukioti paviršiniuose vandens telkiniuose plaukiojimo priemonėmis ir plūduriuojančių priemonių įrengimo ir naudojimo, jų statymo ir (arba) švartavimo aplinkosauginius reikalavimus, </w:t>
              </w:r>
              <w:r>
                <w:rPr>
                  <w:rFonts w:eastAsia="Andale Sans UI"/>
                  <w:szCs w:val="24"/>
                  <w:lang w:eastAsia="lt-LT"/>
                </w:rPr>
                <w:t>patvirtintus Lietuvos Respublikos aplinkos ministro 2004 m. balandžio 15 d. įsakymu Nr. D1-187 „Dėl Aplinkosaugos sąlygų plaukioti paviršiniuose vandens telkiniuose plaukiojimo priemonėmis ir plūduriuojančių priemonių įrengimo ir naudojimo, jų statymo ir (</w:t>
              </w:r>
              <w:r>
                <w:rPr>
                  <w:rFonts w:eastAsia="Andale Sans UI"/>
                  <w:szCs w:val="24"/>
                  <w:lang w:eastAsia="lt-LT"/>
                </w:rPr>
                <w:t>arba) švartavimo aplinkosauginių reikalavimų patvirtinimo“:</w:t>
              </w:r>
            </w:p>
            <w:sdt>
              <w:sdtPr>
                <w:alias w:val="1.1 pp."/>
                <w:tag w:val="part_17b2618107b84bf2bd008235986a9c8d"/>
                <w:id w:val="457540644"/>
                <w:lock w:val="sdtLocked"/>
              </w:sdtPr>
              <w:sdtEndPr/>
              <w:sdtContent>
                <w:p w:rsidR="00446D2B" w:rsidRDefault="004B3376">
                  <w:pPr>
                    <w:suppressAutoHyphens/>
                    <w:ind w:firstLine="567"/>
                    <w:jc w:val="both"/>
                    <w:rPr>
                      <w:rFonts w:eastAsia="SimSun"/>
                      <w:szCs w:val="24"/>
                      <w:lang w:eastAsia="lt-LT"/>
                    </w:rPr>
                  </w:pPr>
                  <w:sdt>
                    <w:sdtPr>
                      <w:alias w:val="Numeris"/>
                      <w:tag w:val="nr_17b2618107b84bf2bd008235986a9c8d"/>
                      <w:id w:val="-1185973410"/>
                      <w:lock w:val="sdtLocked"/>
                    </w:sdtPr>
                    <w:sdtEndPr/>
                    <w:sdtContent>
                      <w:r>
                        <w:rPr>
                          <w:rFonts w:eastAsia="SimSun"/>
                          <w:szCs w:val="24"/>
                          <w:lang w:eastAsia="lt-LT"/>
                        </w:rPr>
                        <w:t>1.1</w:t>
                      </w:r>
                    </w:sdtContent>
                  </w:sdt>
                  <w:r>
                    <w:rPr>
                      <w:rFonts w:eastAsia="SimSun"/>
                      <w:szCs w:val="24"/>
                      <w:lang w:eastAsia="lt-LT"/>
                    </w:rPr>
                    <w:t>. Pakeičiu priedo 2 punktą ir jį išdėstau taip:</w:t>
                  </w:r>
                </w:p>
                <w:tbl>
                  <w:tblPr>
                    <w:tblW w:w="975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971"/>
                    <w:gridCol w:w="1558"/>
                    <w:gridCol w:w="993"/>
                    <w:gridCol w:w="1134"/>
                    <w:gridCol w:w="709"/>
                    <w:gridCol w:w="3827"/>
                  </w:tblGrid>
                  <w:tr w:rsidR="00446D2B">
                    <w:tc>
                      <w:tcPr>
                        <w:tcW w:w="567" w:type="dxa"/>
                        <w:tcBorders>
                          <w:top w:val="single" w:sz="4" w:space="0" w:color="auto"/>
                          <w:left w:val="single" w:sz="4" w:space="0" w:color="auto"/>
                          <w:bottom w:val="single" w:sz="4" w:space="0" w:color="auto"/>
                          <w:right w:val="single" w:sz="4" w:space="0" w:color="auto"/>
                        </w:tcBorders>
                      </w:tcPr>
                      <w:p w:rsidR="00446D2B" w:rsidRDefault="004B3376">
                        <w:pPr>
                          <w:suppressAutoHyphens/>
                          <w:snapToGrid w:val="0"/>
                          <w:jc w:val="both"/>
                          <w:rPr>
                            <w:sz w:val="23"/>
                            <w:szCs w:val="23"/>
                            <w:lang w:eastAsia="lt-LT"/>
                          </w:rPr>
                        </w:pPr>
                        <w:r>
                          <w:rPr>
                            <w:color w:val="000000"/>
                            <w:szCs w:val="24"/>
                            <w:lang w:eastAsia="lt-LT"/>
                          </w:rPr>
                          <w:t>„2.</w:t>
                        </w:r>
                      </w:p>
                    </w:tc>
                    <w:tc>
                      <w:tcPr>
                        <w:tcW w:w="971" w:type="dxa"/>
                        <w:tcBorders>
                          <w:top w:val="single" w:sz="4" w:space="0" w:color="auto"/>
                          <w:left w:val="single" w:sz="4" w:space="0" w:color="auto"/>
                          <w:bottom w:val="single" w:sz="4" w:space="0" w:color="auto"/>
                          <w:right w:val="single" w:sz="4" w:space="0" w:color="auto"/>
                        </w:tcBorders>
                      </w:tcPr>
                      <w:p w:rsidR="00446D2B" w:rsidRDefault="004B3376">
                        <w:pPr>
                          <w:suppressAutoHyphens/>
                          <w:rPr>
                            <w:lang w:eastAsia="lt-LT"/>
                          </w:rPr>
                        </w:pPr>
                        <w:r>
                          <w:rPr>
                            <w:lang w:eastAsia="lt-LT"/>
                          </w:rPr>
                          <w:t>Kauno m. Kauno r. Kaišiadorių r.</w:t>
                        </w:r>
                      </w:p>
                    </w:tc>
                    <w:tc>
                      <w:tcPr>
                        <w:tcW w:w="1558" w:type="dxa"/>
                        <w:tcBorders>
                          <w:top w:val="single" w:sz="4" w:space="0" w:color="auto"/>
                          <w:left w:val="single" w:sz="4" w:space="0" w:color="auto"/>
                          <w:bottom w:val="single" w:sz="4" w:space="0" w:color="auto"/>
                          <w:right w:val="single" w:sz="4" w:space="0" w:color="auto"/>
                        </w:tcBorders>
                      </w:tcPr>
                      <w:p w:rsidR="00446D2B" w:rsidRDefault="004B3376">
                        <w:pPr>
                          <w:suppressAutoHyphens/>
                          <w:rPr>
                            <w:lang w:eastAsia="lt-LT"/>
                          </w:rPr>
                        </w:pPr>
                        <w:r>
                          <w:rPr>
                            <w:lang w:eastAsia="lt-LT"/>
                          </w:rPr>
                          <w:t>Kauno HE tvenkinys (Kauno marių RP)</w:t>
                        </w:r>
                      </w:p>
                    </w:tc>
                    <w:tc>
                      <w:tcPr>
                        <w:tcW w:w="993" w:type="dxa"/>
                        <w:tcBorders>
                          <w:top w:val="single" w:sz="4" w:space="0" w:color="auto"/>
                          <w:left w:val="single" w:sz="4" w:space="0" w:color="auto"/>
                          <w:bottom w:val="single" w:sz="4" w:space="0" w:color="auto"/>
                          <w:right w:val="single" w:sz="4" w:space="0" w:color="auto"/>
                        </w:tcBorders>
                      </w:tcPr>
                      <w:p w:rsidR="00446D2B" w:rsidRDefault="004B3376">
                        <w:pPr>
                          <w:suppressAutoHyphens/>
                          <w:jc w:val="center"/>
                          <w:rPr>
                            <w:lang w:eastAsia="lt-LT"/>
                          </w:rPr>
                        </w:pPr>
                        <w:r>
                          <w:rPr>
                            <w:lang w:eastAsia="lt-LT"/>
                          </w:rPr>
                          <w:t>6350</w:t>
                        </w:r>
                      </w:p>
                    </w:tc>
                    <w:tc>
                      <w:tcPr>
                        <w:tcW w:w="1134" w:type="dxa"/>
                        <w:tcBorders>
                          <w:top w:val="single" w:sz="4" w:space="0" w:color="auto"/>
                          <w:left w:val="single" w:sz="4" w:space="0" w:color="auto"/>
                          <w:bottom w:val="single" w:sz="4" w:space="0" w:color="auto"/>
                          <w:right w:val="single" w:sz="4" w:space="0" w:color="auto"/>
                        </w:tcBorders>
                      </w:tcPr>
                      <w:p w:rsidR="00446D2B" w:rsidRDefault="004B3376">
                        <w:pPr>
                          <w:suppressAutoHyphens/>
                          <w:jc w:val="center"/>
                          <w:rPr>
                            <w:lang w:eastAsia="lt-LT"/>
                          </w:rPr>
                        </w:pPr>
                        <w:r>
                          <w:rPr>
                            <w:lang w:eastAsia="lt-LT"/>
                          </w:rPr>
                          <w:t>10050001</w:t>
                        </w:r>
                      </w:p>
                    </w:tc>
                    <w:tc>
                      <w:tcPr>
                        <w:tcW w:w="709" w:type="dxa"/>
                        <w:tcBorders>
                          <w:top w:val="single" w:sz="4" w:space="0" w:color="auto"/>
                          <w:left w:val="single" w:sz="4" w:space="0" w:color="auto"/>
                          <w:bottom w:val="single" w:sz="4" w:space="0" w:color="auto"/>
                          <w:right w:val="single" w:sz="4" w:space="0" w:color="auto"/>
                        </w:tcBorders>
                      </w:tcPr>
                      <w:p w:rsidR="00446D2B" w:rsidRDefault="004B3376">
                        <w:pPr>
                          <w:suppressAutoHyphens/>
                          <w:jc w:val="center"/>
                          <w:rPr>
                            <w:lang w:eastAsia="lt-LT"/>
                          </w:rPr>
                        </w:pPr>
                        <w:r>
                          <w:rPr>
                            <w:lang w:eastAsia="lt-LT"/>
                          </w:rPr>
                          <w:t>–</w:t>
                        </w:r>
                      </w:p>
                    </w:tc>
                    <w:tc>
                      <w:tcPr>
                        <w:tcW w:w="3827" w:type="dxa"/>
                        <w:tcBorders>
                          <w:top w:val="single" w:sz="4" w:space="0" w:color="auto"/>
                          <w:left w:val="single" w:sz="4" w:space="0" w:color="auto"/>
                          <w:bottom w:val="single" w:sz="4" w:space="0" w:color="auto"/>
                          <w:right w:val="single" w:sz="4" w:space="0" w:color="auto"/>
                        </w:tcBorders>
                      </w:tcPr>
                      <w:p w:rsidR="00446D2B" w:rsidRDefault="004B3376">
                        <w:pPr>
                          <w:suppressAutoHyphens/>
                          <w:jc w:val="both"/>
                          <w:rPr>
                            <w:szCs w:val="24"/>
                            <w:lang w:eastAsia="lt-LT"/>
                          </w:rPr>
                        </w:pPr>
                        <w:r>
                          <w:rPr>
                            <w:szCs w:val="24"/>
                            <w:lang w:eastAsia="lt-LT"/>
                          </w:rPr>
                          <w:t>Savaeigėmis plaukiojimo priemonėmis (išskyrus turinčia</w:t>
                        </w:r>
                        <w:r>
                          <w:rPr>
                            <w:szCs w:val="24"/>
                            <w:lang w:eastAsia="lt-LT"/>
                          </w:rPr>
                          <w:t xml:space="preserve">s vandens srauto pompą), kurių bendras variklių galingumas neviršija 10 AG (8 kW), galima plaukioti visą plaukiojimo sezoną Kauno HE tvenkinio dalyje nuo Kauno marių vidaus vandenų prieplaukos iki linijos, jungiančios </w:t>
                        </w:r>
                        <w:proofErr w:type="spellStart"/>
                        <w:r>
                          <w:rPr>
                            <w:szCs w:val="24"/>
                            <w:lang w:eastAsia="lt-LT"/>
                          </w:rPr>
                          <w:t>Grabučiškių</w:t>
                        </w:r>
                        <w:proofErr w:type="spellEnd"/>
                        <w:r>
                          <w:rPr>
                            <w:szCs w:val="24"/>
                            <w:lang w:eastAsia="lt-LT"/>
                          </w:rPr>
                          <w:t xml:space="preserve"> plaukiojimo priemonių nule</w:t>
                        </w:r>
                        <w:r>
                          <w:rPr>
                            <w:szCs w:val="24"/>
                            <w:lang w:eastAsia="lt-LT"/>
                          </w:rPr>
                          <w:t>idimo vietą (slipą) dešiniajame marių krante (509367, 6084119 (LKS-94)) ir sausumos iškyšulį, esantį statmenai krantui priešais šį slipą, kairiajame marių krante (508255, 6083189 (LKS-94)). Šioje tvenkinio dalyje, ne arčiau kaip 200 m nuo kranto, nuo birže</w:t>
                        </w:r>
                        <w:r>
                          <w:rPr>
                            <w:szCs w:val="24"/>
                            <w:lang w:eastAsia="lt-LT"/>
                          </w:rPr>
                          <w:t xml:space="preserve">lio 21 d. iki plaukiojimo sezono pabaigos leidžiama plaukioti asmeniniais, pramoginiais ir sportiniais laivais, varomais vidaus degimo varikliais, turinčiais vandens srauto pompą, kilti ir tūpti hidroplanais. Šioje tvenkinio dalyje asmeninius, pramoginius </w:t>
                        </w:r>
                        <w:r>
                          <w:rPr>
                            <w:szCs w:val="24"/>
                            <w:lang w:eastAsia="lt-LT"/>
                          </w:rPr>
                          <w:t xml:space="preserve">ir sportinius laivus, varomus vidaus degimo varikliais, turinčiais vandens srauto pompą, </w:t>
                        </w:r>
                        <w:r>
                          <w:rPr>
                            <w:szCs w:val="24"/>
                            <w:lang w:eastAsia="lt-LT"/>
                          </w:rPr>
                          <w:lastRenderedPageBreak/>
                          <w:t>nuleisti į vandenį ir iškelti iš jo galima tik prieplaukose ar kitose vietose, kuriose įrengti specialūs įrenginiai plaukiojimo priemonėms nuleisti ar iškelti (slipai)</w:t>
                        </w:r>
                        <w:r>
                          <w:rPr>
                            <w:szCs w:val="24"/>
                            <w:lang w:eastAsia="lt-LT"/>
                          </w:rPr>
                          <w:t xml:space="preserve">; draudžiamą 200 m pločio priekrantės zoną leidžiama perplaukti mažiausiuoju savaeigės plaukiojimo priemonės greičiu, pasirenkant trumpiausią kelią. Hidroplanais mažiausiuoju greičiu priplaukti leidžiama tik prie Kauno marių vidaus vandenų prieplaukos ir </w:t>
                        </w:r>
                        <w:proofErr w:type="spellStart"/>
                        <w:r>
                          <w:rPr>
                            <w:szCs w:val="24"/>
                            <w:lang w:eastAsia="lt-LT"/>
                          </w:rPr>
                          <w:t>G</w:t>
                        </w:r>
                        <w:r>
                          <w:rPr>
                            <w:szCs w:val="24"/>
                            <w:lang w:eastAsia="lt-LT"/>
                          </w:rPr>
                          <w:t>rabučiškių</w:t>
                        </w:r>
                        <w:proofErr w:type="spellEnd"/>
                        <w:r>
                          <w:rPr>
                            <w:szCs w:val="24"/>
                            <w:lang w:eastAsia="lt-LT"/>
                          </w:rPr>
                          <w:t xml:space="preserve"> plaukiojimo priemonių nuleidimo vietos (slipo).</w:t>
                        </w:r>
                      </w:p>
                      <w:p w:rsidR="00446D2B" w:rsidRDefault="004B3376">
                        <w:pPr>
                          <w:suppressAutoHyphens/>
                          <w:jc w:val="both"/>
                          <w:rPr>
                            <w:szCs w:val="24"/>
                            <w:lang w:eastAsia="lt-LT"/>
                          </w:rPr>
                        </w:pPr>
                        <w:r>
                          <w:rPr>
                            <w:szCs w:val="24"/>
                            <w:lang w:eastAsia="lt-LT"/>
                          </w:rPr>
                          <w:t xml:space="preserve">Kauno marių </w:t>
                        </w:r>
                        <w:proofErr w:type="spellStart"/>
                        <w:r>
                          <w:rPr>
                            <w:szCs w:val="24"/>
                            <w:lang w:eastAsia="lt-LT"/>
                          </w:rPr>
                          <w:t>Amalių</w:t>
                        </w:r>
                        <w:proofErr w:type="spellEnd"/>
                        <w:r>
                          <w:rPr>
                            <w:szCs w:val="24"/>
                            <w:lang w:eastAsia="lt-LT"/>
                          </w:rPr>
                          <w:t xml:space="preserve"> įlankos akvatorijoje nuo plaukiojimo sezono pradžios iki plaukiojimo sezono pabaigos leidžiama Lietuvos vandens motociklų sporto federacijai ne arčiau kaip 100 m atstumu nuo kran</w:t>
                        </w:r>
                        <w:r>
                          <w:rPr>
                            <w:szCs w:val="24"/>
                            <w:lang w:eastAsia="lt-LT"/>
                          </w:rPr>
                          <w:t>to įrengtoje sporto treniruočių trasoje rengti treniruotes asmeniniais ir sportiniais laivais, varomais vidaus degimo varikliais, turinčiais vandens srauto pompą. Lietuvos vandens motociklų sporto federacija konkrečią sporto treniruočių trasos vietą prival</w:t>
                        </w:r>
                        <w:r>
                          <w:rPr>
                            <w:szCs w:val="24"/>
                            <w:lang w:eastAsia="lt-LT"/>
                          </w:rPr>
                          <w:t>o suderinti su Aukštaitijos saugomų teritorijų direkcija ir atitinkamos savivaldybės administracija, paženklinti su direkcija suderintu ir laivybos saugos reikalavimus atitinkančiu būdu; apie šių treniruočių datą ir laiką,  planuojamų naudoti savaeigių pla</w:t>
                        </w:r>
                        <w:r>
                          <w:rPr>
                            <w:szCs w:val="24"/>
                            <w:lang w:eastAsia="lt-LT"/>
                          </w:rPr>
                          <w:t>ukiojimo priemonių skaičių turi raštu informuoti AAD ir Aukštaitijos saugomų teritorijų direkciją.</w:t>
                        </w:r>
                      </w:p>
                      <w:p w:rsidR="00446D2B" w:rsidRDefault="004B3376">
                        <w:pPr>
                          <w:suppressAutoHyphens/>
                          <w:snapToGrid w:val="0"/>
                          <w:jc w:val="both"/>
                          <w:rPr>
                            <w:color w:val="000000"/>
                            <w:szCs w:val="24"/>
                            <w:lang w:eastAsia="lt-LT"/>
                          </w:rPr>
                        </w:pPr>
                        <w:r>
                          <w:rPr>
                            <w:color w:val="000000"/>
                            <w:lang w:eastAsia="lt-LT"/>
                          </w:rPr>
                          <w:t xml:space="preserve">Teisės aktuose nustatyta tvarka pripažintų nacionalinių sporto (šakos) federacijų organizuojamuose ir vykdomuose sporto renginiuose arba sporto renginiuose, </w:t>
                        </w:r>
                        <w:r>
                          <w:rPr>
                            <w:color w:val="000000"/>
                            <w:lang w:eastAsia="lt-LT"/>
                          </w:rPr>
                          <w:t>kuriuos organizuoja ir koordinuoja šios federacijos, nuo birželio 21 d. iki plaukiojimo sezono pabaigos leidžiama plaukioti savaeigėmis plaukiojimo priemonėmis,</w:t>
                        </w:r>
                        <w:r>
                          <w:rPr>
                            <w:lang w:eastAsia="lt-LT"/>
                          </w:rPr>
                          <w:t xml:space="preserve"> </w:t>
                        </w:r>
                        <w:r>
                          <w:rPr>
                            <w:color w:val="000000"/>
                            <w:lang w:eastAsia="lt-LT"/>
                          </w:rPr>
                          <w:t>kurių variklių galingumas neviršija 200 AG (160 kW), suderinus sporto renginio datą, laiką, kon</w:t>
                        </w:r>
                        <w:r>
                          <w:rPr>
                            <w:color w:val="000000"/>
                            <w:lang w:eastAsia="lt-LT"/>
                          </w:rPr>
                          <w:t xml:space="preserve">krečią jo vietą, renginyje planuojamų naudoti savaeigių plaukiojimo priemonių </w:t>
                        </w:r>
                        <w:r>
                          <w:rPr>
                            <w:color w:val="000000"/>
                            <w:lang w:eastAsia="lt-LT"/>
                          </w:rPr>
                          <w:lastRenderedPageBreak/>
                          <w:t xml:space="preserve">skaičių, technines charakteristikas su </w:t>
                        </w:r>
                        <w:r>
                          <w:rPr>
                            <w:szCs w:val="24"/>
                            <w:lang w:eastAsia="lt-LT"/>
                          </w:rPr>
                          <w:t xml:space="preserve">Aukštaitijos </w:t>
                        </w:r>
                        <w:r>
                          <w:rPr>
                            <w:color w:val="000000"/>
                            <w:szCs w:val="24"/>
                            <w:lang w:eastAsia="lt-LT"/>
                          </w:rPr>
                          <w:t>saugomų teritorijų direkcija ir atitinkamos savivaldybės administracija</w:t>
                        </w:r>
                        <w:r>
                          <w:rPr>
                            <w:color w:val="000000"/>
                            <w:lang w:eastAsia="lt-LT"/>
                          </w:rPr>
                          <w:t>. Nacionalinė sporto (šakos) federacija apie šių rengin</w:t>
                        </w:r>
                        <w:r>
                          <w:rPr>
                            <w:color w:val="000000"/>
                            <w:lang w:eastAsia="lt-LT"/>
                          </w:rPr>
                          <w:t>ių datą, laiką ir vietą</w:t>
                        </w:r>
                        <w:r>
                          <w:rPr>
                            <w:lang w:eastAsia="lt-LT"/>
                          </w:rPr>
                          <w:t xml:space="preserve">, </w:t>
                        </w:r>
                        <w:r>
                          <w:rPr>
                            <w:color w:val="000000"/>
                            <w:lang w:eastAsia="lt-LT"/>
                          </w:rPr>
                          <w:t>renginyje planuojamų naudoti savaeigių plaukiojimo priemonių skaičių, technines charakteristikas turi raštu informuoti AAD.“</w:t>
                        </w:r>
                      </w:p>
                    </w:tc>
                  </w:tr>
                </w:tbl>
                <w:p w:rsidR="00446D2B" w:rsidRDefault="004B3376"/>
              </w:sdtContent>
            </w:sdt>
            <w:sdt>
              <w:sdtPr>
                <w:alias w:val="1.2 pp."/>
                <w:tag w:val="part_805fb0ff416045de9a9cf7d728218864"/>
                <w:id w:val="203300240"/>
                <w:lock w:val="sdtLocked"/>
              </w:sdtPr>
              <w:sdtEndPr/>
              <w:sdtContent>
                <w:p w:rsidR="00446D2B" w:rsidRDefault="004B3376">
                  <w:pPr>
                    <w:suppressAutoHyphens/>
                    <w:ind w:firstLine="567"/>
                    <w:jc w:val="both"/>
                    <w:rPr>
                      <w:rFonts w:eastAsia="SimSun"/>
                      <w:szCs w:val="24"/>
                      <w:lang w:eastAsia="lt-LT"/>
                    </w:rPr>
                  </w:pPr>
                  <w:sdt>
                    <w:sdtPr>
                      <w:alias w:val="Numeris"/>
                      <w:tag w:val="nr_805fb0ff416045de9a9cf7d728218864"/>
                      <w:id w:val="-1285501074"/>
                      <w:lock w:val="sdtLocked"/>
                    </w:sdtPr>
                    <w:sdtEndPr/>
                    <w:sdtContent>
                      <w:r>
                        <w:rPr>
                          <w:rFonts w:eastAsia="SimSun"/>
                          <w:szCs w:val="24"/>
                          <w:lang w:eastAsia="lt-LT"/>
                        </w:rPr>
                        <w:t>1.2</w:t>
                      </w:r>
                    </w:sdtContent>
                  </w:sdt>
                  <w:r>
                    <w:rPr>
                      <w:rFonts w:eastAsia="SimSun"/>
                      <w:szCs w:val="24"/>
                      <w:lang w:eastAsia="lt-LT"/>
                    </w:rPr>
                    <w:t>. Pakeičiu priedo 5 punktą ir jį išdėstau taip:</w:t>
                  </w:r>
                </w:p>
                <w:tbl>
                  <w:tblPr>
                    <w:tblW w:w="975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112"/>
                    <w:gridCol w:w="1558"/>
                    <w:gridCol w:w="852"/>
                    <w:gridCol w:w="1134"/>
                    <w:gridCol w:w="992"/>
                    <w:gridCol w:w="3544"/>
                  </w:tblGrid>
                  <w:tr w:rsidR="00446D2B">
                    <w:tc>
                      <w:tcPr>
                        <w:tcW w:w="567" w:type="dxa"/>
                        <w:tcBorders>
                          <w:top w:val="single" w:sz="4" w:space="0" w:color="auto"/>
                          <w:left w:val="single" w:sz="4" w:space="0" w:color="auto"/>
                          <w:bottom w:val="single" w:sz="4" w:space="0" w:color="auto"/>
                          <w:right w:val="single" w:sz="4" w:space="0" w:color="auto"/>
                        </w:tcBorders>
                      </w:tcPr>
                      <w:p w:rsidR="00446D2B" w:rsidRDefault="004B3376">
                        <w:pPr>
                          <w:suppressAutoHyphens/>
                          <w:snapToGrid w:val="0"/>
                          <w:jc w:val="both"/>
                          <w:rPr>
                            <w:szCs w:val="24"/>
                            <w:lang w:eastAsia="lt-LT"/>
                          </w:rPr>
                        </w:pPr>
                        <w:r>
                          <w:rPr>
                            <w:spacing w:val="60"/>
                            <w:szCs w:val="24"/>
                            <w:lang w:eastAsia="lt-LT"/>
                          </w:rPr>
                          <w:t>„</w:t>
                        </w:r>
                        <w:r>
                          <w:rPr>
                            <w:szCs w:val="24"/>
                            <w:lang w:eastAsia="lt-LT"/>
                          </w:rPr>
                          <w:t>5.</w:t>
                        </w:r>
                      </w:p>
                      <w:p w:rsidR="00446D2B" w:rsidRDefault="00446D2B">
                        <w:pPr>
                          <w:suppressAutoHyphens/>
                          <w:snapToGrid w:val="0"/>
                          <w:jc w:val="both"/>
                          <w:rPr>
                            <w:szCs w:val="24"/>
                            <w:lang w:eastAsia="lt-LT"/>
                          </w:rPr>
                        </w:pPr>
                      </w:p>
                    </w:tc>
                    <w:tc>
                      <w:tcPr>
                        <w:tcW w:w="1112" w:type="dxa"/>
                        <w:tcBorders>
                          <w:top w:val="single" w:sz="4" w:space="0" w:color="auto"/>
                          <w:left w:val="single" w:sz="4" w:space="0" w:color="auto"/>
                          <w:bottom w:val="single" w:sz="4" w:space="0" w:color="auto"/>
                          <w:right w:val="single" w:sz="4" w:space="0" w:color="auto"/>
                        </w:tcBorders>
                      </w:tcPr>
                      <w:p w:rsidR="00446D2B" w:rsidRDefault="004B3376">
                        <w:pPr>
                          <w:suppressAutoHyphens/>
                          <w:snapToGrid w:val="0"/>
                          <w:rPr>
                            <w:szCs w:val="24"/>
                            <w:lang w:eastAsia="lt-LT"/>
                          </w:rPr>
                        </w:pPr>
                        <w:r>
                          <w:rPr>
                            <w:szCs w:val="24"/>
                            <w:lang w:eastAsia="lt-LT"/>
                          </w:rPr>
                          <w:t>Šilutės r.</w:t>
                        </w:r>
                      </w:p>
                      <w:p w:rsidR="00446D2B" w:rsidRDefault="00446D2B">
                        <w:pPr>
                          <w:suppressAutoHyphens/>
                          <w:snapToGrid w:val="0"/>
                          <w:rPr>
                            <w:szCs w:val="24"/>
                            <w:lang w:eastAsia="lt-LT"/>
                          </w:rPr>
                        </w:pPr>
                      </w:p>
                    </w:tc>
                    <w:tc>
                      <w:tcPr>
                        <w:tcW w:w="1558" w:type="dxa"/>
                        <w:tcBorders>
                          <w:top w:val="single" w:sz="4" w:space="0" w:color="auto"/>
                          <w:left w:val="single" w:sz="4" w:space="0" w:color="auto"/>
                          <w:bottom w:val="single" w:sz="4" w:space="0" w:color="auto"/>
                          <w:right w:val="single" w:sz="4" w:space="0" w:color="auto"/>
                        </w:tcBorders>
                      </w:tcPr>
                      <w:p w:rsidR="00446D2B" w:rsidRDefault="004B3376">
                        <w:pPr>
                          <w:suppressAutoHyphens/>
                          <w:snapToGrid w:val="0"/>
                          <w:rPr>
                            <w:szCs w:val="24"/>
                            <w:lang w:eastAsia="lt-LT"/>
                          </w:rPr>
                        </w:pPr>
                        <w:r>
                          <w:rPr>
                            <w:szCs w:val="24"/>
                            <w:lang w:eastAsia="lt-LT"/>
                          </w:rPr>
                          <w:t xml:space="preserve">Krokų Lankos ežeras (Nemuno </w:t>
                        </w:r>
                        <w:r>
                          <w:rPr>
                            <w:szCs w:val="24"/>
                            <w:lang w:eastAsia="lt-LT"/>
                          </w:rPr>
                          <w:t>deltos RP)</w:t>
                        </w:r>
                      </w:p>
                      <w:p w:rsidR="00446D2B" w:rsidRDefault="00446D2B">
                        <w:pPr>
                          <w:suppressAutoHyphens/>
                          <w:snapToGrid w:val="0"/>
                          <w:rPr>
                            <w:szCs w:val="24"/>
                            <w:lang w:eastAsia="lt-LT"/>
                          </w:rPr>
                        </w:pPr>
                      </w:p>
                    </w:tc>
                    <w:tc>
                      <w:tcPr>
                        <w:tcW w:w="852" w:type="dxa"/>
                        <w:tcBorders>
                          <w:top w:val="single" w:sz="4" w:space="0" w:color="auto"/>
                          <w:left w:val="single" w:sz="4" w:space="0" w:color="auto"/>
                          <w:bottom w:val="single" w:sz="4" w:space="0" w:color="auto"/>
                          <w:right w:val="single" w:sz="4" w:space="0" w:color="auto"/>
                        </w:tcBorders>
                      </w:tcPr>
                      <w:p w:rsidR="00446D2B" w:rsidRDefault="004B3376">
                        <w:pPr>
                          <w:suppressAutoHyphens/>
                          <w:snapToGrid w:val="0"/>
                          <w:rPr>
                            <w:szCs w:val="24"/>
                            <w:lang w:eastAsia="lt-LT"/>
                          </w:rPr>
                        </w:pPr>
                        <w:r>
                          <w:rPr>
                            <w:szCs w:val="24"/>
                            <w:lang w:eastAsia="lt-LT"/>
                          </w:rPr>
                          <w:t>878,8</w:t>
                        </w:r>
                      </w:p>
                      <w:p w:rsidR="00446D2B" w:rsidRDefault="00446D2B">
                        <w:pPr>
                          <w:suppressAutoHyphens/>
                          <w:snapToGrid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446D2B" w:rsidRDefault="004B3376">
                        <w:pPr>
                          <w:suppressAutoHyphens/>
                          <w:snapToGrid w:val="0"/>
                          <w:rPr>
                            <w:szCs w:val="24"/>
                            <w:lang w:eastAsia="lt-LT"/>
                          </w:rPr>
                        </w:pPr>
                        <w:r>
                          <w:rPr>
                            <w:szCs w:val="24"/>
                            <w:lang w:eastAsia="lt-LT"/>
                          </w:rPr>
                          <w:t>10031790</w:t>
                        </w:r>
                      </w:p>
                      <w:p w:rsidR="00446D2B" w:rsidRDefault="00446D2B">
                        <w:pPr>
                          <w:suppressAutoHyphens/>
                          <w:snapToGrid w:val="0"/>
                          <w:rPr>
                            <w:szCs w:val="24"/>
                            <w:lang w:eastAsia="lt-LT"/>
                          </w:rPr>
                        </w:pPr>
                      </w:p>
                    </w:tc>
                    <w:tc>
                      <w:tcPr>
                        <w:tcW w:w="992" w:type="dxa"/>
                        <w:tcBorders>
                          <w:top w:val="single" w:sz="4" w:space="0" w:color="auto"/>
                          <w:left w:val="single" w:sz="4" w:space="0" w:color="auto"/>
                          <w:bottom w:val="single" w:sz="4" w:space="0" w:color="auto"/>
                          <w:right w:val="single" w:sz="4" w:space="0" w:color="auto"/>
                        </w:tcBorders>
                      </w:tcPr>
                      <w:p w:rsidR="00446D2B" w:rsidRDefault="004B3376">
                        <w:pPr>
                          <w:suppressAutoHyphens/>
                          <w:snapToGrid w:val="0"/>
                          <w:rPr>
                            <w:szCs w:val="24"/>
                            <w:lang w:eastAsia="lt-LT"/>
                          </w:rPr>
                        </w:pPr>
                        <w:r>
                          <w:rPr>
                            <w:szCs w:val="24"/>
                            <w:lang w:eastAsia="lt-LT"/>
                          </w:rPr>
                          <w:t>22-2</w:t>
                        </w:r>
                      </w:p>
                    </w:tc>
                    <w:tc>
                      <w:tcPr>
                        <w:tcW w:w="3544" w:type="dxa"/>
                        <w:tcBorders>
                          <w:top w:val="single" w:sz="4" w:space="0" w:color="auto"/>
                          <w:left w:val="single" w:sz="4" w:space="0" w:color="auto"/>
                          <w:bottom w:val="single" w:sz="4" w:space="0" w:color="auto"/>
                          <w:right w:val="single" w:sz="4" w:space="0" w:color="auto"/>
                        </w:tcBorders>
                      </w:tcPr>
                      <w:p w:rsidR="00446D2B" w:rsidRDefault="004B3376">
                        <w:pPr>
                          <w:suppressAutoHyphens/>
                          <w:snapToGrid w:val="0"/>
                          <w:rPr>
                            <w:szCs w:val="24"/>
                            <w:lang w:eastAsia="lt-LT"/>
                          </w:rPr>
                        </w:pPr>
                        <w:r>
                          <w:rPr>
                            <w:szCs w:val="24"/>
                            <w:lang w:eastAsia="lt-LT"/>
                          </w:rPr>
                          <w:t>Plaukiojimo priemonėmis leidžiama plaukioti visą navigacijos sezoną pažintinio vandens turizmo trasa Atmata–Duobelė–Krokų Lanka–</w:t>
                        </w:r>
                        <w:proofErr w:type="spellStart"/>
                        <w:r>
                          <w:rPr>
                            <w:szCs w:val="24"/>
                            <w:lang w:eastAsia="lt-LT"/>
                          </w:rPr>
                          <w:t>Tulkiaragės</w:t>
                        </w:r>
                        <w:proofErr w:type="spellEnd"/>
                        <w:r>
                          <w:rPr>
                            <w:szCs w:val="24"/>
                            <w:lang w:eastAsia="lt-LT"/>
                          </w:rPr>
                          <w:t xml:space="preserve"> siurblinė–Krokų Lanka–Duobelė–Atmata (savaeigėmis plaukiojimo priemonėmis </w:t>
                        </w:r>
                        <w:r>
                          <w:rPr>
                            <w:szCs w:val="24"/>
                            <w:lang w:eastAsia="lt-LT"/>
                          </w:rPr>
                          <w:t>mažiausiuoju savaeigės plaukiojimo priemonės greičiu), suderinus su Mažosios Lietuvos saugomų teritorijų direkcija.</w:t>
                        </w:r>
                      </w:p>
                      <w:p w:rsidR="00446D2B" w:rsidRDefault="004B3376">
                        <w:pPr>
                          <w:suppressAutoHyphens/>
                          <w:snapToGrid w:val="0"/>
                          <w:rPr>
                            <w:szCs w:val="24"/>
                            <w:lang w:eastAsia="lt-LT"/>
                          </w:rPr>
                        </w:pPr>
                        <w:r>
                          <w:rPr>
                            <w:szCs w:val="24"/>
                            <w:lang w:eastAsia="lt-LT"/>
                          </w:rPr>
                          <w:t>Kartą per metus, bet ne anksčiau kaip rugpjūčio 1 d., Krokų Lankoje pažintinio vandens turizmo trasa nužymėtu maršrutu gali būti organizuoja</w:t>
                        </w:r>
                        <w:r>
                          <w:rPr>
                            <w:szCs w:val="24"/>
                            <w:lang w:eastAsia="lt-LT"/>
                          </w:rPr>
                          <w:t>mas burinių plaukiojimo priemonių regatos apžvalginis plaukimas. Plaukimas turi būti suderintas su Mažosios Lietuvos saugomų teritorijų direkcija.“</w:t>
                        </w:r>
                      </w:p>
                    </w:tc>
                  </w:tr>
                </w:tbl>
                <w:p w:rsidR="00446D2B" w:rsidRDefault="004B3376"/>
              </w:sdtContent>
            </w:sdt>
            <w:sdt>
              <w:sdtPr>
                <w:alias w:val="1.3 pp."/>
                <w:tag w:val="part_219fc0d5a23b4c5fb067584f542a5762"/>
                <w:id w:val="21907018"/>
                <w:lock w:val="sdtLocked"/>
              </w:sdtPr>
              <w:sdtEndPr/>
              <w:sdtContent>
                <w:p w:rsidR="00446D2B" w:rsidRDefault="004B3376">
                  <w:pPr>
                    <w:suppressAutoHyphens/>
                    <w:ind w:firstLine="567"/>
                    <w:jc w:val="both"/>
                    <w:rPr>
                      <w:rFonts w:eastAsia="SimSun"/>
                      <w:szCs w:val="24"/>
                      <w:lang w:eastAsia="lt-LT"/>
                    </w:rPr>
                  </w:pPr>
                  <w:sdt>
                    <w:sdtPr>
                      <w:alias w:val="Numeris"/>
                      <w:tag w:val="nr_219fc0d5a23b4c5fb067584f542a5762"/>
                      <w:id w:val="1823773508"/>
                      <w:lock w:val="sdtLocked"/>
                    </w:sdtPr>
                    <w:sdtEndPr/>
                    <w:sdtContent>
                      <w:r>
                        <w:rPr>
                          <w:rFonts w:eastAsia="SimSun"/>
                          <w:szCs w:val="24"/>
                          <w:lang w:eastAsia="lt-LT"/>
                        </w:rPr>
                        <w:t>1.3</w:t>
                      </w:r>
                    </w:sdtContent>
                  </w:sdt>
                  <w:r>
                    <w:rPr>
                      <w:rFonts w:eastAsia="SimSun"/>
                      <w:szCs w:val="24"/>
                      <w:lang w:eastAsia="lt-LT"/>
                    </w:rPr>
                    <w:t>. Pakeičiu priedo 14 punktą ir jį išdėstau taip:</w:t>
                  </w:r>
                </w:p>
                <w:tbl>
                  <w:tblPr>
                    <w:tblW w:w="973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12"/>
                    <w:gridCol w:w="997"/>
                    <w:gridCol w:w="997"/>
                    <w:gridCol w:w="1394"/>
                    <w:gridCol w:w="765"/>
                    <w:gridCol w:w="1016"/>
                    <w:gridCol w:w="890"/>
                    <w:gridCol w:w="3164"/>
                  </w:tblGrid>
                  <w:tr w:rsidR="004B3376" w:rsidTr="004B3376">
                    <w:tc>
                      <w:tcPr>
                        <w:tcW w:w="567" w:type="dxa"/>
                        <w:tcBorders>
                          <w:top w:val="single" w:sz="4" w:space="0" w:color="auto"/>
                          <w:left w:val="single" w:sz="4" w:space="0" w:color="auto"/>
                          <w:bottom w:val="single" w:sz="4" w:space="0" w:color="auto"/>
                          <w:right w:val="single" w:sz="4" w:space="0" w:color="auto"/>
                        </w:tcBorders>
                      </w:tcPr>
                      <w:p w:rsidR="004B3376" w:rsidRDefault="004B3376">
                        <w:pPr>
                          <w:suppressAutoHyphens/>
                          <w:snapToGrid w:val="0"/>
                          <w:jc w:val="both"/>
                          <w:rPr>
                            <w:szCs w:val="24"/>
                            <w:lang w:eastAsia="lt-LT"/>
                          </w:rPr>
                        </w:pPr>
                        <w:r>
                          <w:rPr>
                            <w:szCs w:val="24"/>
                            <w:lang w:eastAsia="lt-LT"/>
                          </w:rPr>
                          <w:t>„14.</w:t>
                        </w:r>
                      </w:p>
                    </w:tc>
                    <w:tc>
                      <w:tcPr>
                        <w:tcW w:w="1112" w:type="dxa"/>
                        <w:tcBorders>
                          <w:top w:val="single" w:sz="4" w:space="0" w:color="auto"/>
                          <w:left w:val="single" w:sz="4" w:space="0" w:color="auto"/>
                          <w:bottom w:val="single" w:sz="4" w:space="0" w:color="auto"/>
                          <w:right w:val="single" w:sz="4" w:space="0" w:color="auto"/>
                        </w:tcBorders>
                      </w:tcPr>
                      <w:p w:rsidR="004B3376" w:rsidRDefault="004B3376">
                        <w:pPr>
                          <w:suppressAutoHyphens/>
                          <w:snapToGrid w:val="0"/>
                          <w:rPr>
                            <w:szCs w:val="24"/>
                            <w:lang w:eastAsia="lt-LT"/>
                          </w:rPr>
                        </w:pPr>
                      </w:p>
                    </w:tc>
                    <w:tc>
                      <w:tcPr>
                        <w:tcW w:w="1112" w:type="dxa"/>
                        <w:tcBorders>
                          <w:top w:val="single" w:sz="4" w:space="0" w:color="auto"/>
                          <w:left w:val="single" w:sz="4" w:space="0" w:color="auto"/>
                          <w:bottom w:val="single" w:sz="4" w:space="0" w:color="auto"/>
                          <w:right w:val="single" w:sz="4" w:space="0" w:color="auto"/>
                        </w:tcBorders>
                      </w:tcPr>
                      <w:p w:rsidR="004B3376" w:rsidRDefault="004B3376">
                        <w:pPr>
                          <w:suppressAutoHyphens/>
                          <w:snapToGrid w:val="0"/>
                          <w:rPr>
                            <w:szCs w:val="24"/>
                            <w:lang w:eastAsia="lt-LT"/>
                          </w:rPr>
                        </w:pPr>
                        <w:r>
                          <w:rPr>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rsidR="004B3376" w:rsidRDefault="004B3376">
                        <w:pPr>
                          <w:suppressAutoHyphens/>
                          <w:snapToGrid w:val="0"/>
                          <w:rPr>
                            <w:strike/>
                            <w:szCs w:val="24"/>
                            <w:lang w:eastAsia="lt-LT"/>
                          </w:rPr>
                        </w:pPr>
                        <w:proofErr w:type="spellStart"/>
                        <w:r>
                          <w:rPr>
                            <w:szCs w:val="24"/>
                            <w:lang w:eastAsia="lt-LT"/>
                          </w:rPr>
                          <w:t>Luodžio</w:t>
                        </w:r>
                        <w:proofErr w:type="spellEnd"/>
                        <w:r>
                          <w:rPr>
                            <w:szCs w:val="24"/>
                            <w:lang w:eastAsia="lt-LT"/>
                          </w:rPr>
                          <w:t xml:space="preserve"> ežeras</w:t>
                        </w:r>
                      </w:p>
                      <w:p w:rsidR="004B3376" w:rsidRDefault="004B3376">
                        <w:pPr>
                          <w:suppressAutoHyphens/>
                          <w:snapToGrid w:val="0"/>
                          <w:rPr>
                            <w:szCs w:val="24"/>
                            <w:lang w:eastAsia="lt-LT"/>
                          </w:rPr>
                        </w:pPr>
                        <w:r>
                          <w:rPr>
                            <w:szCs w:val="24"/>
                            <w:lang w:eastAsia="lt-LT"/>
                          </w:rPr>
                          <w:t>(Gražutės RP)</w:t>
                        </w:r>
                      </w:p>
                    </w:tc>
                    <w:tc>
                      <w:tcPr>
                        <w:tcW w:w="852" w:type="dxa"/>
                        <w:tcBorders>
                          <w:top w:val="single" w:sz="4" w:space="0" w:color="auto"/>
                          <w:left w:val="single" w:sz="4" w:space="0" w:color="auto"/>
                          <w:bottom w:val="single" w:sz="4" w:space="0" w:color="auto"/>
                          <w:right w:val="single" w:sz="4" w:space="0" w:color="auto"/>
                        </w:tcBorders>
                      </w:tcPr>
                      <w:p w:rsidR="004B3376" w:rsidRDefault="004B3376">
                        <w:pPr>
                          <w:suppressAutoHyphens/>
                          <w:snapToGrid w:val="0"/>
                          <w:rPr>
                            <w:szCs w:val="24"/>
                            <w:lang w:eastAsia="lt-LT"/>
                          </w:rPr>
                        </w:pPr>
                        <w:r>
                          <w:rPr>
                            <w:szCs w:val="24"/>
                            <w:lang w:eastAsia="lt-LT"/>
                          </w:rPr>
                          <w:t>1290,6</w:t>
                        </w:r>
                      </w:p>
                    </w:tc>
                    <w:tc>
                      <w:tcPr>
                        <w:tcW w:w="1134" w:type="dxa"/>
                        <w:tcBorders>
                          <w:top w:val="single" w:sz="4" w:space="0" w:color="auto"/>
                          <w:left w:val="single" w:sz="4" w:space="0" w:color="auto"/>
                          <w:bottom w:val="single" w:sz="4" w:space="0" w:color="auto"/>
                          <w:right w:val="single" w:sz="4" w:space="0" w:color="auto"/>
                        </w:tcBorders>
                      </w:tcPr>
                      <w:p w:rsidR="004B3376" w:rsidRDefault="004B3376">
                        <w:pPr>
                          <w:suppressAutoHyphens/>
                          <w:snapToGrid w:val="0"/>
                          <w:rPr>
                            <w:szCs w:val="24"/>
                            <w:lang w:eastAsia="lt-LT"/>
                          </w:rPr>
                        </w:pPr>
                        <w:r>
                          <w:rPr>
                            <w:szCs w:val="24"/>
                            <w:lang w:eastAsia="lt-LT"/>
                          </w:rPr>
                          <w:t>12230013</w:t>
                        </w:r>
                      </w:p>
                    </w:tc>
                    <w:tc>
                      <w:tcPr>
                        <w:tcW w:w="992" w:type="dxa"/>
                        <w:tcBorders>
                          <w:top w:val="single" w:sz="4" w:space="0" w:color="auto"/>
                          <w:left w:val="single" w:sz="4" w:space="0" w:color="auto"/>
                          <w:bottom w:val="single" w:sz="4" w:space="0" w:color="auto"/>
                          <w:right w:val="single" w:sz="4" w:space="0" w:color="auto"/>
                        </w:tcBorders>
                      </w:tcPr>
                      <w:p w:rsidR="004B3376" w:rsidRDefault="004B3376">
                        <w:pPr>
                          <w:suppressAutoHyphens/>
                          <w:snapToGrid w:val="0"/>
                          <w:rPr>
                            <w:szCs w:val="24"/>
                            <w:lang w:eastAsia="lt-LT"/>
                          </w:rPr>
                        </w:pPr>
                        <w:r>
                          <w:rPr>
                            <w:szCs w:val="24"/>
                            <w:lang w:eastAsia="lt-LT"/>
                          </w:rPr>
                          <w:t>32–42</w:t>
                        </w:r>
                      </w:p>
                    </w:tc>
                    <w:tc>
                      <w:tcPr>
                        <w:tcW w:w="3544" w:type="dxa"/>
                        <w:tcBorders>
                          <w:top w:val="single" w:sz="4" w:space="0" w:color="auto"/>
                          <w:left w:val="single" w:sz="4" w:space="0" w:color="auto"/>
                          <w:bottom w:val="single" w:sz="4" w:space="0" w:color="auto"/>
                          <w:right w:val="single" w:sz="4" w:space="0" w:color="auto"/>
                        </w:tcBorders>
                      </w:tcPr>
                      <w:p w:rsidR="004B3376" w:rsidRDefault="004B3376">
                        <w:pPr>
                          <w:suppressAutoHyphens/>
                          <w:rPr>
                            <w:szCs w:val="24"/>
                            <w:lang w:eastAsia="lt-LT"/>
                          </w:rPr>
                        </w:pPr>
                        <w:r>
                          <w:rPr>
                            <w:szCs w:val="24"/>
                            <w:lang w:eastAsia="lt-LT"/>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rsidR="004B3376" w:rsidRDefault="004B3376">
                        <w:pPr>
                          <w:suppressAutoHyphens/>
                          <w:rPr>
                            <w:szCs w:val="24"/>
                            <w:lang w:eastAsia="lt-LT"/>
                          </w:rPr>
                        </w:pPr>
                        <w:r>
                          <w:rPr>
                            <w:szCs w:val="24"/>
                            <w:lang w:eastAsia="lt-LT"/>
                          </w:rPr>
                          <w:t xml:space="preserve">nuo gegužės 15 d. iki birželio 30 d. savaeigėmis plaukiojimo priemonėmis, kurių bendras variklių galingumas neviršija 10 AG (8 kW),  organizatoriams – plaukiojimo saugumui užtikrinti – savaeigėmis plaukiojimo priemonėmis, kurių bendras variklių galingumas neviršija 50 AG (37 kW); </w:t>
                        </w:r>
                      </w:p>
                      <w:p w:rsidR="004B3376" w:rsidRDefault="004B3376">
                        <w:pPr>
                          <w:suppressAutoHyphens/>
                          <w:rPr>
                            <w:szCs w:val="24"/>
                            <w:lang w:eastAsia="lt-LT"/>
                          </w:rPr>
                        </w:pPr>
                        <w:r>
                          <w:rPr>
                            <w:szCs w:val="24"/>
                            <w:lang w:eastAsia="lt-LT"/>
                          </w:rPr>
                          <w:t xml:space="preserve">nuo liepos 1 d. iki rugsėjo 20 d. savaeigėmis plaukiojimo priemonėmis, kurių bendras variklių galingumas neviršija 75 AG (56 kW). </w:t>
                        </w:r>
                      </w:p>
                      <w:p w:rsidR="004B3376" w:rsidRDefault="004B3376">
                        <w:pPr>
                          <w:suppressAutoHyphens/>
                          <w:snapToGrid w:val="0"/>
                          <w:rPr>
                            <w:szCs w:val="24"/>
                            <w:lang w:eastAsia="lt-LT"/>
                          </w:rPr>
                        </w:pPr>
                        <w:r>
                          <w:rPr>
                            <w:szCs w:val="24"/>
                            <w:lang w:eastAsia="lt-LT"/>
                          </w:rPr>
                          <w:t>Sporto pratybų, renginių, ir žvejybos varžybų organizatoriai renginių laiką, vietą, savaeigių plaukiojimo priemonių skaičių, jų variklių galingumą ir sąlygas turi suderinti su Aukštaitijos saugomų teritorijų direkcija ir Zarasų rajono savivaldybės administracija, raštu informuoti AAD.“</w:t>
                        </w:r>
                      </w:p>
                    </w:tc>
                  </w:tr>
                </w:tbl>
                <w:p w:rsidR="00446D2B" w:rsidRDefault="004B3376"/>
              </w:sdtContent>
            </w:sdt>
          </w:sdtContent>
        </w:sdt>
        <w:sdt>
          <w:sdtPr>
            <w:alias w:val="2 p."/>
            <w:tag w:val="part_9ee0f342b65c4f7ea7c2f5ab1917a893"/>
            <w:id w:val="-1421171177"/>
            <w:lock w:val="sdtLocked"/>
            <w:placeholder>
              <w:docPart w:val="DefaultPlaceholder_-1854013440"/>
            </w:placeholder>
          </w:sdtPr>
          <w:sdtEndPr>
            <w:rPr>
              <w:szCs w:val="24"/>
              <w:lang w:eastAsia="lt-LT"/>
            </w:rPr>
          </w:sdtEndPr>
          <w:sdtContent>
            <w:p w:rsidR="00446D2B" w:rsidRDefault="004B3376">
              <w:pPr>
                <w:suppressAutoHyphens/>
                <w:ind w:firstLine="567"/>
                <w:jc w:val="both"/>
                <w:rPr>
                  <w:rFonts w:eastAsia="Andale Sans UI"/>
                  <w:szCs w:val="24"/>
                  <w:lang w:eastAsia="lt-LT"/>
                </w:rPr>
              </w:pPr>
              <w:sdt>
                <w:sdtPr>
                  <w:alias w:val="Numeris"/>
                  <w:tag w:val="nr_9ee0f342b65c4f7ea7c2f5ab1917a893"/>
                  <w:id w:val="805742428"/>
                  <w:lock w:val="sdtLocked"/>
                </w:sdtPr>
                <w:sdtEndPr/>
                <w:sdtContent>
                  <w:r>
                    <w:rPr>
                      <w:szCs w:val="24"/>
                      <w:lang w:eastAsia="lt-LT"/>
                    </w:rPr>
                    <w:t>2</w:t>
                  </w:r>
                </w:sdtContent>
              </w:sdt>
              <w:r>
                <w:rPr>
                  <w:szCs w:val="24"/>
                  <w:lang w:eastAsia="lt-LT"/>
                </w:rPr>
                <w:t>. N u s t a t a u, kad šis įsakymas įsigalioja 2022 m. liepos 1 d.</w:t>
              </w:r>
            </w:p>
          </w:sdtContent>
        </w:sdt>
        <w:sdt>
          <w:sdtPr>
            <w:rPr>
              <w:rFonts w:eastAsia="Andale Sans UI"/>
              <w:szCs w:val="24"/>
              <w:lang w:eastAsia="lt-LT"/>
            </w:rPr>
            <w:alias w:val="signatura"/>
            <w:tag w:val="part_35e5a043f8974c3da440c032712528ad"/>
            <w:id w:val="62693372"/>
            <w:lock w:val="sdtLocked"/>
            <w:placeholder>
              <w:docPart w:val="DefaultPlaceholder_-1854013440"/>
            </w:placeholder>
          </w:sdtPr>
          <w:sdtEndPr>
            <w:rPr>
              <w:rFonts w:eastAsia="Times New Roman"/>
              <w:szCs w:val="20"/>
            </w:rPr>
          </w:sdtEndPr>
          <w:sdtContent>
            <w:p w:rsidR="00446D2B" w:rsidRDefault="00446D2B">
              <w:pPr>
                <w:suppressAutoHyphens/>
                <w:ind w:firstLine="567"/>
                <w:jc w:val="both"/>
                <w:rPr>
                  <w:rFonts w:eastAsia="Andale Sans UI"/>
                  <w:szCs w:val="24"/>
                  <w:lang w:eastAsia="lt-LT"/>
                </w:rPr>
              </w:pPr>
            </w:p>
            <w:p w:rsidR="00446D2B" w:rsidRDefault="00446D2B">
              <w:pPr>
                <w:suppressAutoHyphens/>
                <w:ind w:firstLine="567"/>
                <w:rPr>
                  <w:lang w:eastAsia="lt-LT"/>
                </w:rPr>
              </w:pPr>
            </w:p>
            <w:p w:rsidR="00446D2B" w:rsidRDefault="004B3376" w:rsidP="004B3376">
              <w:pPr>
                <w:tabs>
                  <w:tab w:val="left" w:pos="4825"/>
                </w:tabs>
                <w:suppressAutoHyphens/>
                <w:ind w:left="8" w:right="34"/>
                <w:rPr>
                  <w:lang w:eastAsia="lt-LT"/>
                </w:rPr>
              </w:pPr>
              <w:r>
                <w:rPr>
                  <w:lang w:eastAsia="lt-LT"/>
                </w:rPr>
                <w:t>Aplinkos ministras</w:t>
              </w:r>
              <w:r>
                <w:rPr>
                  <w:lang w:eastAsia="lt-LT"/>
                </w:rPr>
                <w:tab/>
              </w:r>
              <w:r>
                <w:rPr>
                  <w:lang w:eastAsia="lt-LT"/>
                </w:rPr>
                <w:tab/>
              </w:r>
              <w:r>
                <w:rPr>
                  <w:lang w:eastAsia="lt-LT"/>
                </w:rPr>
                <w:tab/>
              </w:r>
              <w:r>
                <w:rPr>
                  <w:lang w:eastAsia="lt-LT"/>
                </w:rPr>
                <w:tab/>
              </w:r>
              <w:r>
                <w:rPr>
                  <w:lang w:eastAsia="lt-LT"/>
                </w:rPr>
                <w:tab/>
                <w:t>Simonas Gentvilas</w:t>
              </w:r>
            </w:p>
            <w:bookmarkStart w:id="0" w:name="_GoBack" w:displacedByCustomXml="next"/>
            <w:bookmarkEnd w:id="0" w:displacedByCustomXml="next"/>
          </w:sdtContent>
        </w:sdt>
      </w:sdtContent>
    </w:sdt>
    <w:sectPr w:rsidR="00446D2B">
      <w:headerReference w:type="default" r:id="rId18"/>
      <w:footnotePr>
        <w:pos w:val="beneathText"/>
      </w:footnotePr>
      <w:type w:val="continuous"/>
      <w:pgSz w:w="11905" w:h="16837" w:code="9"/>
      <w:pgMar w:top="1134" w:right="567" w:bottom="1134" w:left="1701" w:header="567" w:footer="567" w:gutter="0"/>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6D2B" w:rsidRDefault="004B3376">
      <w:pPr>
        <w:suppressAutoHyphens/>
        <w:rPr>
          <w:lang w:eastAsia="lt-LT"/>
        </w:rPr>
      </w:pPr>
      <w:r>
        <w:rPr>
          <w:lang w:eastAsia="lt-LT"/>
        </w:rPr>
        <w:separator/>
      </w:r>
    </w:p>
  </w:endnote>
  <w:endnote w:type="continuationSeparator" w:id="0">
    <w:p w:rsidR="00446D2B" w:rsidRDefault="004B3376">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Andale Sans UI">
    <w:altName w:val="Times New Roman"/>
    <w:charset w:val="BA"/>
    <w:family w:val="auto"/>
    <w:pitch w:val="variable"/>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D2B" w:rsidRDefault="00446D2B">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D2B" w:rsidRDefault="00446D2B">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D2B" w:rsidRDefault="00446D2B">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6D2B" w:rsidRDefault="004B3376">
      <w:pPr>
        <w:suppressAutoHyphens/>
        <w:rPr>
          <w:lang w:eastAsia="lt-LT"/>
        </w:rPr>
      </w:pPr>
      <w:r>
        <w:rPr>
          <w:lang w:eastAsia="lt-LT"/>
        </w:rPr>
        <w:separator/>
      </w:r>
    </w:p>
  </w:footnote>
  <w:footnote w:type="continuationSeparator" w:id="0">
    <w:p w:rsidR="00446D2B" w:rsidRDefault="004B3376">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D2B" w:rsidRDefault="00446D2B">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D2B" w:rsidRDefault="00446D2B">
    <w:pPr>
      <w:tabs>
        <w:tab w:val="left" w:pos="3344"/>
        <w:tab w:val="left" w:pos="8291"/>
      </w:tabs>
      <w:suppressAutoHyphens/>
      <w:spacing w:before="120" w:after="60"/>
      <w:ind w:left="-17" w:firstLine="17"/>
      <w:jc w:val="center"/>
      <w:rPr>
        <w:b/>
        <w:bCs/>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D2B" w:rsidRDefault="00446D2B">
    <w:pPr>
      <w:tabs>
        <w:tab w:val="center" w:pos="4153"/>
        <w:tab w:val="right" w:pos="9100"/>
      </w:tabs>
      <w:suppressAutoHyphens/>
      <w:rPr>
        <w:rFonts w:ascii="Tahoma" w:hAnsi="Tahoma"/>
        <w:spacing w:val="10"/>
        <w:sz w:val="20"/>
        <w:lang w:eastAsia="lt-LT"/>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D2B" w:rsidRDefault="004B3376">
    <w:pPr>
      <w:tabs>
        <w:tab w:val="center" w:pos="4153"/>
        <w:tab w:val="right" w:pos="9100"/>
      </w:tabs>
      <w:suppressAutoHyphens/>
      <w:jc w:val="center"/>
      <w:rPr>
        <w:rFonts w:ascii="Tahoma" w:hAnsi="Tahoma"/>
        <w:spacing w:val="10"/>
        <w:sz w:val="20"/>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noProof/>
        <w:spacing w:val="10"/>
        <w:szCs w:val="24"/>
        <w:lang w:eastAsia="lt-LT"/>
      </w:rPr>
      <w:t>4</w:t>
    </w:r>
    <w:r>
      <w:rPr>
        <w:spacing w:val="10"/>
        <w:szCs w:val="24"/>
        <w:lang w:eastAsia="lt-LT"/>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1F45"/>
    <w:rsid w:val="002A1F45"/>
    <w:rsid w:val="00446D2B"/>
    <w:rsid w:val="004B337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DE9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B337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370AF65-290E-4DAD-A7F7-1C3FE0AA3317}"/>
      </w:docPartPr>
      <w:docPartBody>
        <w:p w:rsidR="00000000" w:rsidRDefault="0032700D">
          <w:r w:rsidRPr="000D45E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Andale Sans UI">
    <w:altName w:val="Times New Roman"/>
    <w:charset w:val="BA"/>
    <w:family w:val="auto"/>
    <w:pitch w:val="variable"/>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700D"/>
    <w:rsid w:val="003270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700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2e81b46aa153467585536e085f8b770c" PartId="48613da6c3b34af385469b879866add2">
    <Part Type="punktas" Nr="1" Abbr="1 p." DocPartId="40ae4f12b3be454cbdd8ae48c79aa22c" PartId="8b9b1f1da14f49308dd6ad9071adba35">
      <Part Type="papunktis" Nr="1.1" Abbr="1.1 pp." DocPartId="d52aec7bde024094b52e64aa59a669d3" PartId="17b2618107b84bf2bd008235986a9c8d"/>
      <Part Type="papunktis" Nr="1.2" Abbr="1.2 pp." DocPartId="36b210af31e3489ba10520964fdcde0a" PartId="805fb0ff416045de9a9cf7d728218864"/>
      <Part Type="papunktis" Nr="1.3" Abbr="1.3 pp." DocPartId="7c039bce98064302a6ce77c36a584c7a" PartId="219fc0d5a23b4c5fb067584f542a5762"/>
    </Part>
    <Part Type="punktas" Nr="2" Abbr="2 p." DocPartId="bb589004ec084cc19bf490a1a6fe0c4a" PartId="9ee0f342b65c4f7ea7c2f5ab1917a893"/>
    <Part Type="signatura" DocPartId="261ddc42667b46f28980dc474cdf95ed" PartId="35e5a043f8974c3da440c032712528ad"/>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B21275-A3BC-4F18-B84B-8B29B6BA53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A71CDB-73C5-4841-972B-AF905D5930EA}">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4.xml><?xml version="1.0" encoding="utf-8"?>
<ds:datastoreItem xmlns:ds="http://schemas.openxmlformats.org/officeDocument/2006/customXml" ds:itemID="{C1E2AF7F-ED91-40DF-9419-602B573BE8BC}">
  <ds:schemaRefs>
    <ds:schemaRef ds:uri="http://lrs.lt/TAIS/DocParts"/>
  </ds:schemaRefs>
</ds:datastoreItem>
</file>

<file path=customXml/itemProps5.xml><?xml version="1.0" encoding="utf-8"?>
<ds:datastoreItem xmlns:ds="http://schemas.openxmlformats.org/officeDocument/2006/customXml" ds:itemID="{BD7E765A-5F63-4BF8-8B8E-F6E05A57C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3936</Words>
  <Characters>2244</Characters>
  <Application>Microsoft Office Word</Application>
  <DocSecurity>0</DocSecurity>
  <Lines>18</Lines>
  <Paragraphs>12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6168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2022-06-21T13:23:00Z</dcterms:created>
  <dcterms:modified xsi:type="dcterms:W3CDTF">2022-06-21T14:01:00Z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