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5FFE5" w14:textId="77777777" w:rsidR="0055413E" w:rsidRDefault="0055413E">
      <w:pPr>
        <w:tabs>
          <w:tab w:val="center" w:pos="4153"/>
          <w:tab w:val="right" w:pos="8306"/>
        </w:tabs>
        <w:rPr>
          <w:rFonts w:ascii="TimesLT" w:hAnsi="TimesLT"/>
          <w:lang w:val="en-US"/>
        </w:rPr>
      </w:pPr>
    </w:p>
    <w:p w14:paraId="4DA5FFE6" w14:textId="77777777" w:rsidR="0055413E" w:rsidRDefault="00A27AE5">
      <w:pPr>
        <w:jc w:val="center"/>
        <w:rPr>
          <w:caps/>
          <w:sz w:val="22"/>
        </w:rPr>
      </w:pPr>
      <w:r>
        <w:rPr>
          <w:caps/>
          <w:noProof/>
          <w:lang w:eastAsia="lt-LT"/>
        </w:rPr>
        <w:drawing>
          <wp:inline distT="0" distB="0" distL="0" distR="0" wp14:anchorId="4DA60008" wp14:editId="4DA6000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DA5FFE7" w14:textId="77777777" w:rsidR="0055413E" w:rsidRDefault="0055413E">
      <w:pPr>
        <w:jc w:val="center"/>
        <w:rPr>
          <w:caps/>
          <w:sz w:val="12"/>
          <w:szCs w:val="12"/>
        </w:rPr>
      </w:pPr>
    </w:p>
    <w:p w14:paraId="4DA5FFE8" w14:textId="77777777" w:rsidR="0055413E" w:rsidRDefault="00A27AE5">
      <w:pPr>
        <w:jc w:val="center"/>
        <w:rPr>
          <w:b/>
          <w:bCs/>
          <w:caps/>
        </w:rPr>
      </w:pPr>
      <w:r>
        <w:rPr>
          <w:b/>
          <w:bCs/>
          <w:caps/>
        </w:rPr>
        <w:t>LIETUVOS RESPUBLIKOS</w:t>
      </w:r>
    </w:p>
    <w:p w14:paraId="4DA5FFE9" w14:textId="77777777" w:rsidR="0055413E" w:rsidRDefault="00A27AE5">
      <w:pPr>
        <w:jc w:val="center"/>
        <w:rPr>
          <w:b/>
          <w:caps/>
        </w:rPr>
      </w:pPr>
      <w:r>
        <w:rPr>
          <w:b/>
          <w:caps/>
        </w:rPr>
        <w:t>KELIŲ TRANSPORTO KODEKSO NR. I-1628 29 IR 38 STRAIPSNIŲ PAKEITIMO</w:t>
      </w:r>
    </w:p>
    <w:p w14:paraId="4DA5FFEA" w14:textId="77777777" w:rsidR="0055413E" w:rsidRDefault="00A27AE5">
      <w:pPr>
        <w:jc w:val="center"/>
        <w:rPr>
          <w:caps/>
        </w:rPr>
      </w:pPr>
      <w:r>
        <w:rPr>
          <w:b/>
          <w:caps/>
        </w:rPr>
        <w:t>ĮSTATYMAS</w:t>
      </w:r>
    </w:p>
    <w:p w14:paraId="4DA5FFEB" w14:textId="77777777" w:rsidR="0055413E" w:rsidRDefault="0055413E">
      <w:pPr>
        <w:jc w:val="center"/>
        <w:rPr>
          <w:b/>
          <w:caps/>
        </w:rPr>
      </w:pPr>
    </w:p>
    <w:p w14:paraId="4DA5FFEC" w14:textId="77777777" w:rsidR="0055413E" w:rsidRDefault="00A27AE5">
      <w:pPr>
        <w:jc w:val="center"/>
        <w:rPr>
          <w:sz w:val="22"/>
        </w:rPr>
      </w:pPr>
      <w:r>
        <w:rPr>
          <w:sz w:val="22"/>
        </w:rPr>
        <w:t>2015 m. lapkričio 19 d. Nr. XII-2040</w:t>
      </w:r>
    </w:p>
    <w:p w14:paraId="4DA5FFED" w14:textId="77777777" w:rsidR="0055413E" w:rsidRDefault="00A27AE5">
      <w:pPr>
        <w:jc w:val="center"/>
        <w:rPr>
          <w:sz w:val="22"/>
        </w:rPr>
      </w:pPr>
      <w:r>
        <w:rPr>
          <w:sz w:val="22"/>
        </w:rPr>
        <w:t>Vilnius</w:t>
      </w:r>
    </w:p>
    <w:p w14:paraId="4DA5FFEE" w14:textId="77777777" w:rsidR="0055413E" w:rsidRDefault="0055413E">
      <w:pPr>
        <w:jc w:val="center"/>
        <w:rPr>
          <w:sz w:val="22"/>
        </w:rPr>
      </w:pPr>
    </w:p>
    <w:p w14:paraId="4DA5FFF1" w14:textId="77777777" w:rsidR="0055413E" w:rsidRDefault="0055413E">
      <w:pPr>
        <w:tabs>
          <w:tab w:val="center" w:pos="4153"/>
          <w:tab w:val="right" w:pos="8306"/>
        </w:tabs>
        <w:rPr>
          <w:rFonts w:ascii="TimesLT" w:hAnsi="TimesLT"/>
          <w:lang w:val="en-US"/>
        </w:rPr>
      </w:pPr>
    </w:p>
    <w:p w14:paraId="4DA5FFF2" w14:textId="77777777" w:rsidR="0055413E" w:rsidRDefault="00A27AE5">
      <w:pPr>
        <w:tabs>
          <w:tab w:val="left" w:pos="851"/>
        </w:tabs>
        <w:spacing w:line="360" w:lineRule="auto"/>
        <w:ind w:firstLine="720"/>
        <w:jc w:val="both"/>
        <w:rPr>
          <w:b/>
          <w:szCs w:val="24"/>
        </w:rPr>
      </w:pPr>
      <w:r>
        <w:rPr>
          <w:b/>
          <w:szCs w:val="24"/>
        </w:rPr>
        <w:t>1</w:t>
      </w:r>
      <w:r>
        <w:rPr>
          <w:b/>
          <w:szCs w:val="24"/>
        </w:rPr>
        <w:t xml:space="preserve"> straipsnis. </w:t>
      </w:r>
      <w:r>
        <w:rPr>
          <w:b/>
          <w:szCs w:val="24"/>
        </w:rPr>
        <w:t>29 straipsnio pakeitimas</w:t>
      </w:r>
    </w:p>
    <w:p w14:paraId="4DA5FFF3" w14:textId="77777777" w:rsidR="0055413E" w:rsidRDefault="00A27AE5">
      <w:pPr>
        <w:tabs>
          <w:tab w:val="left" w:pos="851"/>
        </w:tabs>
        <w:spacing w:line="360" w:lineRule="auto"/>
        <w:ind w:firstLine="720"/>
        <w:jc w:val="both"/>
        <w:rPr>
          <w:szCs w:val="24"/>
        </w:rPr>
      </w:pPr>
      <w:r>
        <w:rPr>
          <w:szCs w:val="24"/>
        </w:rPr>
        <w:t>1</w:t>
      </w:r>
      <w:r>
        <w:rPr>
          <w:szCs w:val="24"/>
        </w:rPr>
        <w:t>. Papildyti 29 straipsnio 2 dalį 12 punktu:</w:t>
      </w:r>
    </w:p>
    <w:p w14:paraId="4DA5FFF4" w14:textId="77777777" w:rsidR="0055413E" w:rsidRDefault="00A27AE5">
      <w:pPr>
        <w:tabs>
          <w:tab w:val="left" w:pos="851"/>
        </w:tabs>
        <w:spacing w:line="360" w:lineRule="auto"/>
        <w:ind w:firstLine="720"/>
        <w:jc w:val="both"/>
        <w:rPr>
          <w:szCs w:val="24"/>
        </w:rPr>
      </w:pPr>
      <w:r>
        <w:rPr>
          <w:szCs w:val="24"/>
        </w:rPr>
        <w:t>„</w:t>
      </w:r>
      <w:r>
        <w:rPr>
          <w:szCs w:val="24"/>
        </w:rPr>
        <w:t>12</w:t>
      </w:r>
      <w:r>
        <w:rPr>
          <w:szCs w:val="24"/>
        </w:rPr>
        <w:t>) važtaraščio seriją ir numerį arba tik numerį, leidžiančius identifikuoti važtaraštį.“</w:t>
      </w:r>
    </w:p>
    <w:p w14:paraId="4DA5FFF5" w14:textId="77777777" w:rsidR="0055413E" w:rsidRDefault="00A27AE5">
      <w:pPr>
        <w:tabs>
          <w:tab w:val="left" w:pos="851"/>
        </w:tabs>
        <w:spacing w:line="360" w:lineRule="auto"/>
        <w:ind w:firstLine="720"/>
        <w:jc w:val="both"/>
        <w:rPr>
          <w:szCs w:val="24"/>
        </w:rPr>
      </w:pPr>
      <w:r>
        <w:rPr>
          <w:szCs w:val="24"/>
        </w:rPr>
        <w:t>2</w:t>
      </w:r>
      <w:r>
        <w:rPr>
          <w:szCs w:val="24"/>
        </w:rPr>
        <w:t>. Papildyti 29 straipsnį 5 dalimi:</w:t>
      </w:r>
    </w:p>
    <w:p w14:paraId="4DA5FFF6" w14:textId="77777777" w:rsidR="0055413E" w:rsidRDefault="00A27AE5">
      <w:pPr>
        <w:tabs>
          <w:tab w:val="left" w:pos="851"/>
        </w:tabs>
        <w:spacing w:line="360" w:lineRule="auto"/>
        <w:ind w:firstLine="720"/>
        <w:jc w:val="both"/>
        <w:rPr>
          <w:szCs w:val="24"/>
        </w:rPr>
      </w:pPr>
      <w:r>
        <w:rPr>
          <w:szCs w:val="24"/>
        </w:rPr>
        <w:t>„</w:t>
      </w:r>
      <w:r>
        <w:rPr>
          <w:szCs w:val="24"/>
        </w:rPr>
        <w:t>5</w:t>
      </w:r>
      <w:r>
        <w:rPr>
          <w:szCs w:val="24"/>
        </w:rPr>
        <w:t xml:space="preserve">. </w:t>
      </w:r>
      <w:r>
        <w:rPr>
          <w:szCs w:val="24"/>
        </w:rPr>
        <w:t xml:space="preserve">Važtaraštis gali būti spausdintas (surašytas) popieriuje ir (arba) elektroninės formos. Elektroniniu važtaraščiu laikomas važtaraštis, kuriame nurodyti nustatyti važtaraščio duomenys ir kuris išrašytas ir gautas elektroniniu būdu. Elektroninis važtaraštis </w:t>
      </w:r>
      <w:r>
        <w:rPr>
          <w:szCs w:val="24"/>
        </w:rPr>
        <w:t>gali būti naudojamas tik tuo atveju, kai yra išankstinis vežėjo ir gavėjo sutikimas. Siuntėjas ir (arba) vežėjas, įformindami važtaraštį, turi užtikrinti važtaraščio kilmės autentiškumą, turinio vientisumą ir įskaitomumą. Važtaraščio kilmės autentiškumu la</w:t>
      </w:r>
      <w:r>
        <w:rPr>
          <w:szCs w:val="24"/>
        </w:rPr>
        <w:t>ikomas siuntėjo ir (arba) vežėjo tapatybės tikrumas, važtaraščio turinio vientisumu – važtaraščio duomenų keitimo (išskyrus techninių klaidų taisymą) nebuvimas. Važtaraščio įskaitomumas reiškia, kad važtaraštis yra įskaitomas (perskaitomas) ir pateiktas ta</w:t>
      </w:r>
      <w:r>
        <w:rPr>
          <w:szCs w:val="24"/>
        </w:rPr>
        <w:t>ip, kad visą jo turinį galima aiškiai įskaityti popieriuje arba ekrane, kad nereikėtų papildomo interpretavimo ar nagrinėjimo. Elektroninio važtaraščio kilmės autentiškumas ir turinio vientisumas užtikrinami bent vienu iš šių būdų:</w:t>
      </w:r>
    </w:p>
    <w:p w14:paraId="4DA5FFF7" w14:textId="77777777" w:rsidR="0055413E" w:rsidRDefault="00A27AE5">
      <w:pPr>
        <w:tabs>
          <w:tab w:val="left" w:pos="851"/>
        </w:tabs>
        <w:spacing w:line="360" w:lineRule="auto"/>
        <w:ind w:firstLine="720"/>
        <w:jc w:val="both"/>
        <w:rPr>
          <w:szCs w:val="24"/>
        </w:rPr>
      </w:pPr>
      <w:r>
        <w:rPr>
          <w:szCs w:val="24"/>
        </w:rPr>
        <w:t>1</w:t>
      </w:r>
      <w:r>
        <w:rPr>
          <w:szCs w:val="24"/>
        </w:rPr>
        <w:t>) naudojant saugų ele</w:t>
      </w:r>
      <w:r>
        <w:rPr>
          <w:szCs w:val="24"/>
        </w:rPr>
        <w:t>ktroninį parašą, kaip nustatyta Lietuvos Respublikos elektroninio parašo įstatyme;</w:t>
      </w:r>
    </w:p>
    <w:p w14:paraId="4DA5FFF8" w14:textId="77777777" w:rsidR="0055413E" w:rsidRDefault="00A27AE5">
      <w:pPr>
        <w:tabs>
          <w:tab w:val="left" w:pos="851"/>
        </w:tabs>
        <w:spacing w:line="360" w:lineRule="auto"/>
        <w:ind w:firstLine="720"/>
        <w:jc w:val="both"/>
        <w:rPr>
          <w:szCs w:val="24"/>
        </w:rPr>
      </w:pPr>
      <w:r>
        <w:rPr>
          <w:szCs w:val="24"/>
        </w:rPr>
        <w:t>2</w:t>
      </w:r>
      <w:r>
        <w:rPr>
          <w:szCs w:val="24"/>
        </w:rPr>
        <w:t>) naudojantis Valstybinės mokesčių inspekcijos prie Lietuvos Respublikos finansų ministerijos teikiamomis elektroninių važtaraščių išrašymo, perdavimo, gavimo paslaugom</w:t>
      </w:r>
      <w:r>
        <w:rPr>
          <w:szCs w:val="24"/>
        </w:rPr>
        <w:t>is;</w:t>
      </w:r>
    </w:p>
    <w:p w14:paraId="4DA5FFF9" w14:textId="77777777" w:rsidR="0055413E" w:rsidRDefault="00A27AE5">
      <w:pPr>
        <w:tabs>
          <w:tab w:val="left" w:pos="851"/>
        </w:tabs>
        <w:spacing w:line="360" w:lineRule="auto"/>
        <w:ind w:firstLine="720"/>
        <w:jc w:val="both"/>
        <w:rPr>
          <w:szCs w:val="24"/>
        </w:rPr>
      </w:pPr>
      <w:r>
        <w:rPr>
          <w:szCs w:val="24"/>
        </w:rPr>
        <w:t>3</w:t>
      </w:r>
      <w:r>
        <w:rPr>
          <w:szCs w:val="24"/>
        </w:rPr>
        <w:t>) bet kokiomis verslo kontrolės priemonėmis (bet kokia atsakingų asmenų (vadovų, savininkų, darbuotojų) nustatyta ir įgyvendinama tvarka, kuri yra skirta užtikrinti tinkamą šioje dalyje nurodytų elektroniniam važtaraščiui taikomų reikalavimų laiky</w:t>
      </w:r>
      <w:r>
        <w:rPr>
          <w:szCs w:val="24"/>
        </w:rPr>
        <w:t>mąsi).“</w:t>
      </w:r>
    </w:p>
    <w:p w14:paraId="4DA5FFFA" w14:textId="77777777" w:rsidR="0055413E" w:rsidRDefault="00A27AE5">
      <w:pPr>
        <w:tabs>
          <w:tab w:val="left" w:pos="851"/>
        </w:tabs>
        <w:spacing w:line="360" w:lineRule="auto"/>
        <w:ind w:firstLine="720"/>
        <w:jc w:val="both"/>
        <w:rPr>
          <w:szCs w:val="24"/>
        </w:rPr>
      </w:pPr>
    </w:p>
    <w:p w14:paraId="4DA5FFFB" w14:textId="77777777" w:rsidR="0055413E" w:rsidRDefault="00A27AE5">
      <w:pPr>
        <w:tabs>
          <w:tab w:val="left" w:pos="851"/>
        </w:tabs>
        <w:spacing w:line="360" w:lineRule="auto"/>
        <w:ind w:firstLine="720"/>
        <w:jc w:val="both"/>
        <w:rPr>
          <w:b/>
          <w:szCs w:val="24"/>
        </w:rPr>
      </w:pPr>
      <w:r>
        <w:rPr>
          <w:b/>
          <w:szCs w:val="24"/>
        </w:rPr>
        <w:t>2</w:t>
      </w:r>
      <w:r>
        <w:rPr>
          <w:b/>
          <w:szCs w:val="24"/>
        </w:rPr>
        <w:t xml:space="preserve"> straipsnis. </w:t>
      </w:r>
      <w:r>
        <w:rPr>
          <w:b/>
          <w:szCs w:val="24"/>
        </w:rPr>
        <w:t>38 straipsnio pakeitimas</w:t>
      </w:r>
    </w:p>
    <w:p w14:paraId="4DA5FFFC" w14:textId="77777777" w:rsidR="0055413E" w:rsidRDefault="00A27AE5">
      <w:pPr>
        <w:tabs>
          <w:tab w:val="left" w:pos="851"/>
        </w:tabs>
        <w:spacing w:line="360" w:lineRule="auto"/>
        <w:ind w:firstLine="720"/>
        <w:jc w:val="both"/>
        <w:rPr>
          <w:szCs w:val="24"/>
        </w:rPr>
      </w:pPr>
      <w:r>
        <w:rPr>
          <w:szCs w:val="24"/>
        </w:rPr>
        <w:t>Papildyti 38 straipsnio 2 dalį 10 punktu:</w:t>
      </w:r>
    </w:p>
    <w:p w14:paraId="4DA5FFFD" w14:textId="77777777" w:rsidR="0055413E" w:rsidRDefault="00A27AE5">
      <w:pPr>
        <w:tabs>
          <w:tab w:val="left" w:pos="851"/>
        </w:tabs>
        <w:spacing w:line="360" w:lineRule="auto"/>
        <w:ind w:firstLine="720"/>
        <w:jc w:val="both"/>
        <w:rPr>
          <w:szCs w:val="24"/>
        </w:rPr>
      </w:pPr>
      <w:r>
        <w:rPr>
          <w:szCs w:val="24"/>
        </w:rPr>
        <w:t>„</w:t>
      </w:r>
      <w:r>
        <w:rPr>
          <w:szCs w:val="24"/>
        </w:rPr>
        <w:t>10</w:t>
      </w:r>
      <w:r>
        <w:rPr>
          <w:szCs w:val="24"/>
        </w:rPr>
        <w:t>) važtaraščio serija ir numeris arba tik numeris, leidžiantys identifikuoti važtaraštį.“</w:t>
      </w:r>
    </w:p>
    <w:p w14:paraId="4DA5FFFE" w14:textId="77777777" w:rsidR="0055413E" w:rsidRDefault="00A27AE5">
      <w:pPr>
        <w:tabs>
          <w:tab w:val="left" w:pos="851"/>
        </w:tabs>
        <w:spacing w:line="360" w:lineRule="auto"/>
        <w:ind w:firstLine="720"/>
        <w:jc w:val="both"/>
        <w:rPr>
          <w:szCs w:val="24"/>
        </w:rPr>
      </w:pPr>
    </w:p>
    <w:p w14:paraId="4DA5FFFF" w14:textId="77777777" w:rsidR="0055413E" w:rsidRDefault="00A27AE5">
      <w:pPr>
        <w:spacing w:line="360" w:lineRule="auto"/>
        <w:ind w:firstLine="720"/>
        <w:jc w:val="both"/>
        <w:rPr>
          <w:b/>
          <w:szCs w:val="24"/>
        </w:rPr>
      </w:pPr>
      <w:r>
        <w:rPr>
          <w:b/>
          <w:szCs w:val="24"/>
        </w:rPr>
        <w:t>3</w:t>
      </w:r>
      <w:r>
        <w:rPr>
          <w:b/>
          <w:szCs w:val="24"/>
        </w:rPr>
        <w:t xml:space="preserve"> straipsnis. </w:t>
      </w:r>
      <w:r>
        <w:rPr>
          <w:b/>
          <w:szCs w:val="24"/>
        </w:rPr>
        <w:t xml:space="preserve">Įstatymo įsigaliojimas ir </w:t>
      </w:r>
      <w:r>
        <w:rPr>
          <w:b/>
          <w:szCs w:val="24"/>
        </w:rPr>
        <w:t>įgyvendinimas</w:t>
      </w:r>
    </w:p>
    <w:p w14:paraId="4DA60000" w14:textId="77777777" w:rsidR="0055413E" w:rsidRDefault="00A27AE5">
      <w:pPr>
        <w:spacing w:line="360" w:lineRule="auto"/>
        <w:ind w:firstLine="720"/>
        <w:jc w:val="both"/>
        <w:rPr>
          <w:szCs w:val="24"/>
        </w:rPr>
      </w:pPr>
      <w:r>
        <w:rPr>
          <w:szCs w:val="24"/>
        </w:rPr>
        <w:t>1</w:t>
      </w:r>
      <w:r>
        <w:rPr>
          <w:szCs w:val="24"/>
        </w:rPr>
        <w:t>. Šis įstatymas, išskyrus šio straipsnio 2 dalį, įsigalioja 2016 m. spalio 1 d.</w:t>
      </w:r>
    </w:p>
    <w:p w14:paraId="4DA60001" w14:textId="77777777" w:rsidR="0055413E" w:rsidRDefault="00A27AE5">
      <w:pPr>
        <w:tabs>
          <w:tab w:val="left" w:pos="709"/>
        </w:tabs>
        <w:spacing w:line="360" w:lineRule="auto"/>
        <w:ind w:firstLine="720"/>
        <w:jc w:val="both"/>
        <w:rPr>
          <w:szCs w:val="24"/>
        </w:rPr>
      </w:pPr>
      <w:r>
        <w:rPr>
          <w:szCs w:val="24"/>
        </w:rPr>
        <w:t>2</w:t>
      </w:r>
      <w:r>
        <w:rPr>
          <w:szCs w:val="24"/>
        </w:rPr>
        <w:t xml:space="preserve">. Valstybinė mokesčių inspekcija prie Lietuvos Respublikos finansų ministerijos iki 2016 m. balandžio 1 d. priima šio įstatymo įgyvendinamuosius teisės </w:t>
      </w:r>
      <w:r>
        <w:rPr>
          <w:szCs w:val="24"/>
        </w:rPr>
        <w:t>aktus.</w:t>
      </w:r>
    </w:p>
    <w:p w14:paraId="4DA60002" w14:textId="77777777" w:rsidR="0055413E" w:rsidRDefault="00A27AE5">
      <w:pPr>
        <w:spacing w:line="360" w:lineRule="auto"/>
        <w:ind w:firstLine="720"/>
        <w:jc w:val="both"/>
      </w:pPr>
    </w:p>
    <w:bookmarkStart w:id="0" w:name="_GoBack" w:displacedByCustomXml="prev"/>
    <w:p w14:paraId="4DA60003" w14:textId="77777777" w:rsidR="0055413E" w:rsidRDefault="00A27AE5">
      <w:pPr>
        <w:spacing w:line="360" w:lineRule="auto"/>
        <w:ind w:firstLine="720"/>
        <w:jc w:val="both"/>
        <w:rPr>
          <w:i/>
          <w:szCs w:val="24"/>
        </w:rPr>
      </w:pPr>
      <w:r>
        <w:rPr>
          <w:i/>
          <w:szCs w:val="24"/>
        </w:rPr>
        <w:t>Skelbiu šį Lietuvos Respublikos Seimo priimtą įstatymą.</w:t>
      </w:r>
    </w:p>
    <w:p w14:paraId="4DA60004" w14:textId="77777777" w:rsidR="0055413E" w:rsidRDefault="0055413E">
      <w:pPr>
        <w:spacing w:line="360" w:lineRule="auto"/>
        <w:rPr>
          <w:i/>
          <w:szCs w:val="24"/>
        </w:rPr>
      </w:pPr>
    </w:p>
    <w:p w14:paraId="4DA60005" w14:textId="77777777" w:rsidR="0055413E" w:rsidRDefault="0055413E">
      <w:pPr>
        <w:spacing w:line="360" w:lineRule="auto"/>
        <w:rPr>
          <w:i/>
          <w:szCs w:val="24"/>
        </w:rPr>
      </w:pPr>
    </w:p>
    <w:p w14:paraId="4DA60006" w14:textId="77777777" w:rsidR="0055413E" w:rsidRDefault="0055413E">
      <w:pPr>
        <w:spacing w:line="360" w:lineRule="auto"/>
      </w:pPr>
    </w:p>
    <w:p w14:paraId="4DA60007" w14:textId="77777777" w:rsidR="0055413E" w:rsidRDefault="00A27AE5">
      <w:pPr>
        <w:tabs>
          <w:tab w:val="right" w:pos="9356"/>
        </w:tabs>
      </w:pPr>
      <w:r>
        <w:t>Respublikos Prezidentė</w:t>
      </w:r>
      <w:r>
        <w:rPr>
          <w:caps/>
        </w:rPr>
        <w:tab/>
      </w:r>
      <w:r>
        <w:t>Dalia Grybauskaitė</w:t>
      </w:r>
    </w:p>
    <w:bookmarkEnd w:id="0" w:displacedByCustomXml="next"/>
    <w:sectPr w:rsidR="0055413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6000C" w14:textId="77777777" w:rsidR="0055413E" w:rsidRDefault="00A27AE5">
      <w:pPr>
        <w:rPr>
          <w:rFonts w:ascii="TimesLT" w:hAnsi="TimesLT"/>
          <w:lang w:val="en-US"/>
        </w:rPr>
      </w:pPr>
      <w:r>
        <w:rPr>
          <w:rFonts w:ascii="TimesLT" w:hAnsi="TimesLT"/>
          <w:lang w:val="en-US"/>
        </w:rPr>
        <w:separator/>
      </w:r>
    </w:p>
  </w:endnote>
  <w:endnote w:type="continuationSeparator" w:id="0">
    <w:p w14:paraId="4DA6000D" w14:textId="77777777" w:rsidR="0055413E" w:rsidRDefault="00A27AE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60012" w14:textId="77777777" w:rsidR="0055413E" w:rsidRDefault="00A27AE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DA60013" w14:textId="77777777" w:rsidR="0055413E" w:rsidRDefault="0055413E">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60014" w14:textId="77777777" w:rsidR="0055413E" w:rsidRDefault="0055413E">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60016" w14:textId="77777777" w:rsidR="0055413E" w:rsidRDefault="0055413E">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6000A" w14:textId="77777777" w:rsidR="0055413E" w:rsidRDefault="00A27AE5">
      <w:pPr>
        <w:rPr>
          <w:rFonts w:ascii="TimesLT" w:hAnsi="TimesLT"/>
          <w:lang w:val="en-US"/>
        </w:rPr>
      </w:pPr>
      <w:r>
        <w:rPr>
          <w:rFonts w:ascii="TimesLT" w:hAnsi="TimesLT"/>
          <w:lang w:val="en-US"/>
        </w:rPr>
        <w:separator/>
      </w:r>
    </w:p>
  </w:footnote>
  <w:footnote w:type="continuationSeparator" w:id="0">
    <w:p w14:paraId="4DA6000B" w14:textId="77777777" w:rsidR="0055413E" w:rsidRDefault="00A27AE5">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6000E" w14:textId="77777777" w:rsidR="0055413E" w:rsidRDefault="00A27AE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DA6000F" w14:textId="77777777" w:rsidR="0055413E" w:rsidRDefault="0055413E">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60010" w14:textId="77777777" w:rsidR="0055413E" w:rsidRDefault="00A27AE5">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4DA60011" w14:textId="77777777" w:rsidR="0055413E" w:rsidRDefault="0055413E">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60015" w14:textId="77777777" w:rsidR="0055413E" w:rsidRDefault="0055413E">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9F"/>
    <w:rsid w:val="0055413E"/>
    <w:rsid w:val="0087159F"/>
    <w:rsid w:val="00A27A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5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2237</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2535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2015-11-27T12:36:00Z</dcterms:created>
  <dc:creator>MANIUŠKIENĖ Violeta</dc:creator>
  <lastModifiedBy>GUMBYTĖ Danguolė</lastModifiedBy>
  <lastPrinted>2004-12-10T05:45:00Z</lastPrinted>
  <dcterms:modified xsi:type="dcterms:W3CDTF">2015-11-27T12:47:00Z</dcterms:modified>
  <revision>3</revision>
</coreProperties>
</file>