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81b38cad7a74bdda3064a84956a8ef6"/>
        <w:id w:val="-861671878"/>
        <w:lock w:val="sdtLocked"/>
      </w:sdtPr>
      <w:sdtEndPr/>
      <w:sdtContent>
        <w:p w14:paraId="58A20D0C" w14:textId="77777777" w:rsidR="00E1217B" w:rsidRDefault="00E1217B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31434AC4" w14:textId="50FD00C2" w:rsidR="00E1217B" w:rsidRDefault="00F906A4">
          <w:pPr>
            <w:tabs>
              <w:tab w:val="left" w:pos="2835"/>
            </w:tabs>
            <w:suppressAutoHyphens/>
            <w:jc w:val="center"/>
            <w:rPr>
              <w:b/>
              <w:szCs w:val="24"/>
            </w:rPr>
          </w:pPr>
          <w:r>
            <w:rPr>
              <w:noProof/>
              <w:lang w:eastAsia="lt-LT"/>
            </w:rPr>
            <w:drawing>
              <wp:inline distT="0" distB="0" distL="0" distR="0" wp14:anchorId="1512F768" wp14:editId="13AA1DF6">
                <wp:extent cx="542290" cy="597535"/>
                <wp:effectExtent l="0" t="0" r="0" b="0"/>
                <wp:docPr id="9" name="Picture 9" descr="Paveikslėlis, kuriame yra žinutė  Automatiškai sugeneruotas aprašymas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" name="Picture 9" descr="Paveikslėlis, kuriame yra žinutė  Automatiškai sugeneruotas aprašymas"/>
                        <pic:cNvPicPr/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975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025B532B" w14:textId="7EF25211" w:rsidR="00E1217B" w:rsidRDefault="00F906A4">
          <w:pPr>
            <w:tabs>
              <w:tab w:val="left" w:pos="2835"/>
            </w:tabs>
            <w:suppressAutoHyphens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VALSTYBINĖ ENERGETIKOS REGULIAVIMO TARYBA</w:t>
          </w:r>
        </w:p>
        <w:p w14:paraId="04925671" w14:textId="77777777" w:rsidR="00E1217B" w:rsidRDefault="00E1217B">
          <w:pPr>
            <w:tabs>
              <w:tab w:val="left" w:pos="2835"/>
              <w:tab w:val="center" w:pos="4819"/>
              <w:tab w:val="right" w:pos="9638"/>
            </w:tabs>
            <w:jc w:val="center"/>
            <w:rPr>
              <w:caps/>
              <w:szCs w:val="24"/>
            </w:rPr>
          </w:pPr>
        </w:p>
        <w:p w14:paraId="7D0ADAE8" w14:textId="77777777" w:rsidR="00E1217B" w:rsidRDefault="00F906A4">
          <w:pPr>
            <w:tabs>
              <w:tab w:val="left" w:pos="2835"/>
              <w:tab w:val="center" w:pos="4819"/>
              <w:tab w:val="right" w:pos="9638"/>
            </w:tabs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Nutarimas</w:t>
          </w:r>
        </w:p>
        <w:p w14:paraId="247CED69" w14:textId="58D2D7B9" w:rsidR="00E1217B" w:rsidRDefault="00F906A4">
          <w:pPr>
            <w:jc w:val="center"/>
            <w:textAlignment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Dėl Valstybinės energetikos REGULIAVIMO tARYBOS 2015 m. sausio 15 d. nutarimo Nr. O3-3 „</w:t>
          </w:r>
          <w:r>
            <w:rPr>
              <w:b/>
              <w:bCs/>
              <w:caps/>
              <w:szCs w:val="24"/>
              <w:lang w:eastAsia="lt-LT"/>
            </w:rPr>
            <w:t xml:space="preserve">DĖL ELEKTROS ENERGIJOS PERDAVIMO, </w:t>
          </w:r>
          <w:r>
            <w:rPr>
              <w:b/>
              <w:bCs/>
              <w:caps/>
              <w:szCs w:val="24"/>
              <w:lang w:eastAsia="lt-LT"/>
            </w:rPr>
            <w:t>SKIRSTYMO IR VISUOMENINIO TIEKIMO PASLAUGŲ BEI VISUOMENINĖS KAINOS VIRŠUTINĖS RIBOS NUSTATYMO METODIKOS PATVIRTINIMO</w:t>
          </w:r>
          <w:r>
            <w:rPr>
              <w:b/>
              <w:caps/>
              <w:szCs w:val="24"/>
            </w:rPr>
            <w:t>“ pakeitimo</w:t>
          </w:r>
          <w:r>
            <w:rPr>
              <w:b/>
              <w:caps/>
              <w:szCs w:val="24"/>
            </w:rPr>
            <w:br/>
          </w:r>
        </w:p>
        <w:p w14:paraId="67AC9881" w14:textId="5C1F4288" w:rsidR="00E1217B" w:rsidRDefault="00F906A4">
          <w:pPr>
            <w:tabs>
              <w:tab w:val="left" w:pos="2835"/>
            </w:tabs>
            <w:suppressAutoHyphens/>
            <w:jc w:val="center"/>
            <w:rPr>
              <w:szCs w:val="24"/>
            </w:rPr>
          </w:pPr>
          <w:r>
            <w:rPr>
              <w:szCs w:val="24"/>
            </w:rPr>
            <w:t xml:space="preserve">2025 m. lapkričio 18 d. </w:t>
          </w:r>
          <w:r>
            <w:rPr>
              <w:szCs w:val="24"/>
            </w:rPr>
            <w:t xml:space="preserve"> Nr. O3E-1697</w:t>
          </w:r>
        </w:p>
        <w:p w14:paraId="540FED82" w14:textId="374D52ED" w:rsidR="00E1217B" w:rsidRDefault="00F906A4">
          <w:pPr>
            <w:tabs>
              <w:tab w:val="left" w:pos="2835"/>
            </w:tabs>
            <w:suppressAutoHyphens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9872118" w14:textId="77777777" w:rsidR="00E1217B" w:rsidRDefault="00E1217B">
          <w:pPr>
            <w:tabs>
              <w:tab w:val="left" w:pos="2835"/>
            </w:tabs>
            <w:suppressAutoHyphens/>
            <w:jc w:val="center"/>
            <w:rPr>
              <w:szCs w:val="24"/>
            </w:rPr>
          </w:pPr>
        </w:p>
        <w:sdt>
          <w:sdtPr>
            <w:alias w:val="preambule"/>
            <w:tag w:val="part_90748530bf454c19aeee6a50a7ed9ce8"/>
            <w:id w:val="595139626"/>
            <w:lock w:val="sdtLocked"/>
          </w:sdtPr>
          <w:sdtEndPr/>
          <w:sdtContent>
            <w:p w14:paraId="718789B0" w14:textId="40B1725C" w:rsidR="00E1217B" w:rsidRDefault="00F906A4">
              <w:pPr>
                <w:tabs>
                  <w:tab w:val="left" w:pos="993"/>
                  <w:tab w:val="left" w:pos="2835"/>
                  <w:tab w:val="right" w:pos="9638"/>
                </w:tabs>
                <w:suppressAutoHyphens/>
                <w:ind w:firstLine="709"/>
                <w:jc w:val="both"/>
                <w:textAlignment w:val="center"/>
              </w:pPr>
              <w:r>
                <w:t>Vadovaudamasi Lietuvos Respublikos elektros energetikos įstatymo 9 straipsn</w:t>
              </w:r>
              <w:r>
                <w:t>io 3 dalies 4 punktu, 69 straipsnio 8 dalimi</w:t>
              </w:r>
              <w:r>
                <w:rPr>
                  <w:szCs w:val="24"/>
                </w:rPr>
                <w:t xml:space="preserve"> </w:t>
              </w:r>
              <w:r>
                <w:t xml:space="preserve">ir atsižvelgdama į </w:t>
              </w:r>
              <w:r>
                <w:rPr>
                  <w:color w:val="000000"/>
                </w:rPr>
                <w:t xml:space="preserve">Valstybinės energetikos reguliavimo tarybos </w:t>
              </w:r>
              <w:r>
                <w:rPr>
                  <w:lang w:eastAsia="lt-LT"/>
                </w:rPr>
                <w:t xml:space="preserve">Reguliavimo strategijos vystymo </w:t>
              </w:r>
              <w:r>
                <w:t xml:space="preserve">departamento </w:t>
              </w:r>
              <w:r>
                <w:rPr>
                  <w:lang w:eastAsia="lt-LT"/>
                </w:rPr>
                <w:t>Nacionalinio reguliavimo metodologijos skyriaus 2025 m. lapkričio 6 d. pažymą Nr. O5E-</w:t>
              </w:r>
              <w:r>
                <w:rPr>
                  <w:lang w:val="en-US" w:eastAsia="lt-LT"/>
                </w:rPr>
                <w:t>1311</w:t>
              </w:r>
              <w:r>
                <w:rPr>
                  <w:lang w:eastAsia="lt-LT"/>
                </w:rPr>
                <w:t xml:space="preserve"> </w:t>
              </w:r>
              <w:r>
                <w:rPr>
                  <w:spacing w:val="-2"/>
                </w:rPr>
                <w:t>„D</w:t>
              </w:r>
              <w:r>
                <w:rPr>
                  <w:color w:val="000000"/>
                </w:rPr>
                <w:t xml:space="preserve">ėl </w:t>
              </w:r>
              <w:r>
                <w:t>Valstyb</w:t>
              </w:r>
              <w:r>
                <w:t>inės energetikos reguliavimo tarybos 2015 m. sausio 15 d. nutarimo Nr. O3-3 „</w:t>
              </w:r>
              <w:r>
                <w:rPr>
                  <w:caps/>
                </w:rPr>
                <w:t>D</w:t>
              </w:r>
              <w:r>
                <w:t>ėl</w:t>
              </w:r>
              <w:r>
                <w:rPr>
                  <w:caps/>
                </w:rPr>
                <w:t xml:space="preserve"> E</w:t>
              </w:r>
              <w:r>
                <w:t>lektros energijos perdavimo, skirstymo ir visuomeninio tiekimo paslaugų bei visuomeninės kainos viršutinės ribos nustatymo metodikos patvirtinimo“ pakeitimo“, Valstybinė ener</w:t>
              </w:r>
              <w:r>
                <w:t>getikos reguliavimo taryba n u t a r i a:</w:t>
              </w:r>
            </w:p>
          </w:sdtContent>
        </w:sdt>
        <w:sdt>
          <w:sdtPr>
            <w:alias w:val="pastraipa"/>
            <w:tag w:val="part_2a905641498045c58a249f8ef960e8d8"/>
            <w:id w:val="-1142890243"/>
            <w:lock w:val="sdtLocked"/>
          </w:sdtPr>
          <w:sdtEndPr/>
          <w:sdtContent>
            <w:p w14:paraId="77BA2BBB" w14:textId="17F9BED2" w:rsidR="00E1217B" w:rsidRDefault="00F906A4">
              <w:pPr>
                <w:tabs>
                  <w:tab w:val="right" w:pos="9638"/>
                </w:tabs>
                <w:suppressAutoHyphens/>
                <w:ind w:firstLine="709"/>
                <w:jc w:val="both"/>
                <w:textAlignment w:val="center"/>
                <w:rPr>
                  <w:szCs w:val="24"/>
                </w:rPr>
              </w:pPr>
              <w:r>
                <w:rPr>
                  <w:szCs w:val="24"/>
                </w:rPr>
                <w:t>Pakeisti Elektros energijos perdavimo, skirstymo ir visuomeninio tiekimo paslaugų bei visuomeninės kainos viršutinės ribos nustatymo metodiką, patvirtintą Valstybinės energetikos reguliavimo tarybos 2015 m. sausi</w:t>
              </w:r>
              <w:r>
                <w:rPr>
                  <w:szCs w:val="24"/>
                </w:rPr>
                <w:t>o 15 d. nutarimu Nr. O3-3 „Dėl Elektros energijos perdavimo, skirstymo ir visuomeninio tiekimo paslaugų bei visuomeninės kainos viršutinės ribos nustatymo metodikos patvirtinimo“:</w:t>
              </w:r>
            </w:p>
          </w:sdtContent>
        </w:sdt>
        <w:sdt>
          <w:sdtPr>
            <w:alias w:val="1 p."/>
            <w:tag w:val="part_79cf44d5ff98458c9969df602b54ead0"/>
            <w:id w:val="-474684156"/>
            <w:lock w:val="sdtLocked"/>
          </w:sdtPr>
          <w:sdtEndPr/>
          <w:sdtContent>
            <w:p w14:paraId="5FE05559" w14:textId="39D0349E" w:rsidR="00E1217B" w:rsidRDefault="00F906A4">
              <w:pPr>
                <w:tabs>
                  <w:tab w:val="left" w:pos="1191"/>
                  <w:tab w:val="right" w:pos="9638"/>
                </w:tabs>
                <w:suppressAutoHyphens/>
                <w:ind w:firstLine="709"/>
                <w:jc w:val="both"/>
                <w:textAlignment w:val="center"/>
                <w:rPr>
                  <w:szCs w:val="24"/>
                </w:rPr>
              </w:pPr>
              <w:sdt>
                <w:sdtPr>
                  <w:alias w:val="Numeris"/>
                  <w:tag w:val="nr_79cf44d5ff98458c9969df602b54ead0"/>
                  <w:id w:val="-149447870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Pakeisti Metodikos 3 punktą ir jį išdėstyti taip:</w:t>
              </w:r>
            </w:p>
            <w:sdt>
              <w:sdtPr>
                <w:alias w:val="citata"/>
                <w:tag w:val="part_9db1aa6357ae4acda74b8ebfddde19e8"/>
                <w:id w:val="1902094653"/>
                <w:lock w:val="sdtLocked"/>
              </w:sdtPr>
              <w:sdtEndPr/>
              <w:sdtContent>
                <w:sdt>
                  <w:sdtPr>
                    <w:alias w:val="3 p."/>
                    <w:tag w:val="part_188b145e078740a1a354d398669c46e5"/>
                    <w:id w:val="-578669993"/>
                    <w:lock w:val="sdtLocked"/>
                  </w:sdtPr>
                  <w:sdtEndPr/>
                  <w:sdtContent>
                    <w:p w14:paraId="09BF21A6" w14:textId="5D7DE182" w:rsidR="00E1217B" w:rsidRDefault="00F906A4">
                      <w:pPr>
                        <w:tabs>
                          <w:tab w:val="left" w:pos="1191"/>
                          <w:tab w:val="right" w:pos="9638"/>
                        </w:tabs>
                        <w:suppressAutoHyphens/>
                        <w:ind w:firstLine="709"/>
                        <w:jc w:val="both"/>
                        <w:textAlignment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188b145e078740a1a354d398669c46e5"/>
                          <w:id w:val="-203588364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Metodikoje </w:t>
                      </w:r>
                      <w:r>
                        <w:rPr>
                          <w:szCs w:val="24"/>
                        </w:rPr>
                        <w:t>vartojamos sąvokos:</w:t>
                      </w:r>
                    </w:p>
                    <w:sdt>
                      <w:sdtPr>
                        <w:alias w:val="3.1 pp."/>
                        <w:tag w:val="part_96bbb4ea0bd0432294239a6837a3bdb1"/>
                        <w:id w:val="-1835678864"/>
                        <w:lock w:val="sdtLocked"/>
                      </w:sdtPr>
                      <w:sdtEndPr/>
                      <w:sdtContent>
                        <w:p w14:paraId="1C10D262" w14:textId="41411E0E" w:rsidR="00E1217B" w:rsidRDefault="00F906A4">
                          <w:pPr>
                            <w:tabs>
                              <w:tab w:val="left" w:pos="1191"/>
                              <w:tab w:val="right" w:pos="9638"/>
                            </w:tabs>
                            <w:suppressAutoHyphens/>
                            <w:ind w:firstLine="709"/>
                            <w:jc w:val="both"/>
                            <w:textAlignment w:val="center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6bbb4ea0bd0432294239a6837a3bdb1"/>
                              <w:id w:val="-6125349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>Kainos viršutinė riba</w:t>
                          </w:r>
                          <w:r>
                            <w:rPr>
                              <w:szCs w:val="24"/>
                            </w:rPr>
                            <w:t xml:space="preserve"> – Įmonės atitinkamos reguliuojamos paslaugos sąnaudų bei investicijų grąžos sumos ir atitinkamos reguliuojamos veiklos elektros energijos kiekio santykis, kuris gali būti koreguojamas Elektros energetikos įs</w:t>
                          </w:r>
                          <w:r>
                            <w:rPr>
                              <w:szCs w:val="24"/>
                            </w:rPr>
                            <w:t>tatymo 69 straipsnyje nustatytu dažnumu Metodikoje nustatyta tvarka;</w:t>
                          </w:r>
                        </w:p>
                      </w:sdtContent>
                    </w:sdt>
                    <w:sdt>
                      <w:sdtPr>
                        <w:alias w:val="3.2 pp."/>
                        <w:tag w:val="part_7d2c46ab92c1420eaec4f997b3d59bea"/>
                        <w:id w:val="-669633505"/>
                        <w:lock w:val="sdtLocked"/>
                      </w:sdtPr>
                      <w:sdtEndPr/>
                      <w:sdtContent>
                        <w:p w14:paraId="6F61597D" w14:textId="7354C868" w:rsidR="00E1217B" w:rsidRDefault="00F906A4">
                          <w:pPr>
                            <w:tabs>
                              <w:tab w:val="left" w:pos="1191"/>
                              <w:tab w:val="right" w:pos="9638"/>
                            </w:tabs>
                            <w:suppressAutoHyphens/>
                            <w:ind w:firstLine="709"/>
                            <w:jc w:val="both"/>
                            <w:textAlignment w:val="center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7d2c46ab92c1420eaec4f997b3d59bea"/>
                              <w:id w:val="41382888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>Visuomeninio tiekėjo prognozuojamą elektros energijos kainą mažinanti dedamoji</w:t>
                          </w:r>
                          <w:r>
                            <w:rPr>
                              <w:szCs w:val="24"/>
                            </w:rPr>
                            <w:t xml:space="preserve"> (toliau – kainą mažinanti dedamoji) – visuomeninio tiekėjo pasiūlytas neigiamas dydis, išreikštas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Eur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/kWh, kuriuo mažinama ateinančiam laikotarpiui visuomeninio tiekėjo prognozuojama elektros energijos įsigijimo kaina, siekiant užtikrinti visuomeninės ele</w:t>
                          </w:r>
                          <w:r>
                            <w:rPr>
                              <w:szCs w:val="24"/>
                            </w:rPr>
                            <w:t xml:space="preserve">ktros energijos kainų stabilumą.“ 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7b6a8d705a304dc98a0e3c00a4817275"/>
            <w:id w:val="-31658732"/>
            <w:lock w:val="sdtLocked"/>
          </w:sdtPr>
          <w:sdtEndPr/>
          <w:sdtContent>
            <w:p w14:paraId="0332F3F4" w14:textId="5A40BD58" w:rsidR="00E1217B" w:rsidRDefault="00F906A4">
              <w:pPr>
                <w:tabs>
                  <w:tab w:val="left" w:pos="1191"/>
                  <w:tab w:val="right" w:pos="9638"/>
                </w:tabs>
                <w:suppressAutoHyphens/>
                <w:ind w:firstLine="709"/>
                <w:jc w:val="both"/>
                <w:textAlignment w:val="center"/>
                <w:rPr>
                  <w:szCs w:val="24"/>
                </w:rPr>
              </w:pPr>
              <w:sdt>
                <w:sdtPr>
                  <w:alias w:val="Numeris"/>
                  <w:tag w:val="nr_7b6a8d705a304dc98a0e3c00a4817275"/>
                  <w:id w:val="71878620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Pakeisti 113 punkto nuostatą iki dvitaškio ir ją išdėstyti taip:</w:t>
              </w:r>
            </w:p>
            <w:sdt>
              <w:sdtPr>
                <w:alias w:val="citata"/>
                <w:tag w:val="part_73830625458346a5953134022b1cfdfc"/>
                <w:id w:val="1787542457"/>
                <w:lock w:val="sdtLocked"/>
              </w:sdtPr>
              <w:sdtEndPr/>
              <w:sdtContent>
                <w:sdt>
                  <w:sdtPr>
                    <w:alias w:val="113 p."/>
                    <w:tag w:val="part_fc2c7d5de7874db58153f25e7ac1146b"/>
                    <w:id w:val="569315964"/>
                    <w:lock w:val="sdtLocked"/>
                  </w:sdtPr>
                  <w:sdtEndPr/>
                  <w:sdtContent>
                    <w:p w14:paraId="0E882A33" w14:textId="7A2AD327" w:rsidR="00E1217B" w:rsidRDefault="00F906A4">
                      <w:pPr>
                        <w:tabs>
                          <w:tab w:val="left" w:pos="993"/>
                        </w:tabs>
                        <w:suppressAutoHyphens/>
                        <w:spacing w:line="252" w:lineRule="auto"/>
                        <w:ind w:firstLine="709"/>
                        <w:jc w:val="both"/>
                        <w:textAlignment w:val="center"/>
                        <w:rPr>
                          <w:strike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fc2c7d5de7874db58153f25e7ac1146b"/>
                          <w:id w:val="-13187759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113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Prognozuojama elektros energijos įsigijimo kaina nustatoma, įvertinus:“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699c4795d9e44e02979c0cd39eb1770c"/>
            <w:id w:val="2014950437"/>
            <w:lock w:val="sdtLocked"/>
          </w:sdtPr>
          <w:sdtEndPr/>
          <w:sdtContent>
            <w:p w14:paraId="50C9430D" w14:textId="76883FA2" w:rsidR="00E1217B" w:rsidRDefault="00F906A4">
              <w:pPr>
                <w:tabs>
                  <w:tab w:val="left" w:pos="993"/>
                </w:tabs>
                <w:suppressAutoHyphens/>
                <w:spacing w:line="252" w:lineRule="auto"/>
                <w:ind w:firstLine="709"/>
                <w:jc w:val="both"/>
                <w:textAlignment w:val="center"/>
                <w:rPr>
                  <w:szCs w:val="24"/>
                </w:rPr>
              </w:pPr>
              <w:sdt>
                <w:sdtPr>
                  <w:alias w:val="Numeris"/>
                  <w:tag w:val="nr_699c4795d9e44e02979c0cd39eb1770c"/>
                  <w:id w:val="-196842449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Papildyti 113.6 papunkčiu:</w:t>
              </w:r>
            </w:p>
            <w:sdt>
              <w:sdtPr>
                <w:alias w:val="citata"/>
                <w:tag w:val="part_d034557851134a8c936c96584bc4f837"/>
                <w:id w:val="847827801"/>
                <w:lock w:val="sdtLocked"/>
              </w:sdtPr>
              <w:sdtEndPr/>
              <w:sdtContent>
                <w:sdt>
                  <w:sdtPr>
                    <w:alias w:val="113.6 pp."/>
                    <w:tag w:val="part_f3fb1f2b042b40fa9349bddb02cbb911"/>
                    <w:id w:val="268356279"/>
                    <w:lock w:val="sdtLocked"/>
                  </w:sdtPr>
                  <w:sdtEndPr/>
                  <w:sdtContent>
                    <w:p w14:paraId="20AD3753" w14:textId="3E6D665B" w:rsidR="00E1217B" w:rsidRDefault="00F906A4">
                      <w:pPr>
                        <w:tabs>
                          <w:tab w:val="left" w:pos="993"/>
                        </w:tabs>
                        <w:suppressAutoHyphens/>
                        <w:spacing w:line="252" w:lineRule="auto"/>
                        <w:ind w:firstLine="709"/>
                        <w:jc w:val="both"/>
                        <w:textAlignment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f3fb1f2b042b40fa9349bddb02cbb911"/>
                          <w:id w:val="107887491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113.6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poreikį ir gali</w:t>
                      </w:r>
                      <w:r>
                        <w:rPr>
                          <w:szCs w:val="24"/>
                        </w:rPr>
                        <w:t xml:space="preserve">mybę koreguoti prognozuojamą elektros energijos įsigijimo kainą, taikant kainą mažinančią dedamąją;“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eea4caf762ac4322915ab82afe4262e2"/>
            <w:id w:val="1953889925"/>
            <w:lock w:val="sdtLocked"/>
          </w:sdtPr>
          <w:sdtEndPr/>
          <w:sdtContent>
            <w:p w14:paraId="55288EE7" w14:textId="45C791F9" w:rsidR="00E1217B" w:rsidRDefault="00F906A4">
              <w:pPr>
                <w:tabs>
                  <w:tab w:val="left" w:pos="993"/>
                </w:tabs>
                <w:suppressAutoHyphens/>
                <w:spacing w:line="252" w:lineRule="auto"/>
                <w:ind w:firstLine="709"/>
                <w:jc w:val="both"/>
                <w:textAlignment w:val="center"/>
                <w:rPr>
                  <w:szCs w:val="24"/>
                </w:rPr>
              </w:pPr>
              <w:sdt>
                <w:sdtPr>
                  <w:alias w:val="Numeris"/>
                  <w:tag w:val="nr_eea4caf762ac4322915ab82afe4262e2"/>
                  <w:id w:val="170914668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Papildyti 113.7 papunkčiu:</w:t>
              </w:r>
            </w:p>
            <w:sdt>
              <w:sdtPr>
                <w:alias w:val="citata"/>
                <w:tag w:val="part_2dd6c10213814405b47ddecdcb96e6f2"/>
                <w:id w:val="1435714636"/>
                <w:lock w:val="sdtLocked"/>
              </w:sdtPr>
              <w:sdtEndPr/>
              <w:sdtContent>
                <w:sdt>
                  <w:sdtPr>
                    <w:alias w:val="113.7 pp."/>
                    <w:tag w:val="part_b424f49b83e2473ca3061ac7881981ff"/>
                    <w:id w:val="-1917617560"/>
                    <w:lock w:val="sdtLocked"/>
                  </w:sdtPr>
                  <w:sdtEndPr/>
                  <w:sdtContent>
                    <w:p w14:paraId="20DCEA05" w14:textId="6FCCE586" w:rsidR="00E1217B" w:rsidRDefault="00F906A4">
                      <w:pPr>
                        <w:tabs>
                          <w:tab w:val="left" w:pos="993"/>
                        </w:tabs>
                        <w:suppressAutoHyphens/>
                        <w:spacing w:line="252" w:lineRule="auto"/>
                        <w:ind w:firstLine="709"/>
                        <w:jc w:val="both"/>
                        <w:textAlignment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b424f49b83e2473ca3061ac7881981ff"/>
                          <w:id w:val="31214945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113.7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Vyriausybės nutarimu nustatytą dydį, mažinantį visuomeninės elektros energijos vartotojams (ar jų grupei) </w:t>
                      </w:r>
                      <w:r>
                        <w:rPr>
                          <w:szCs w:val="24"/>
                        </w:rPr>
                        <w:t xml:space="preserve">elektros energijos kainas </w:t>
                      </w:r>
                      <w:r>
                        <w:rPr>
                          <w:i/>
                          <w:iCs/>
                          <w:szCs w:val="24"/>
                        </w:rPr>
                        <w:t xml:space="preserve">t </w:t>
                      </w:r>
                      <w:r>
                        <w:rPr>
                          <w:szCs w:val="24"/>
                        </w:rPr>
                        <w:t xml:space="preserve">metais, išskyrus kompensacijas, kurios pagal Metodikos 111 punktą įvertinamos mažinant skirstymo paslaugos </w:t>
                      </w:r>
                      <w:r>
                        <w:rPr>
                          <w:i/>
                          <w:iCs/>
                          <w:szCs w:val="24"/>
                        </w:rPr>
                        <w:t>t</w:t>
                      </w:r>
                      <w:r>
                        <w:rPr>
                          <w:szCs w:val="24"/>
                        </w:rPr>
                        <w:t xml:space="preserve"> metų kainos buitiniams vartotojams papildomą dedamąją</w:t>
                      </w:r>
                      <w:r>
                        <w:t xml:space="preserve"> ir (ar) mažinant </w:t>
                      </w:r>
                      <w:r>
                        <w:rPr>
                          <w:szCs w:val="24"/>
                        </w:rPr>
                        <w:t>galutinius visuomeninio tiekėjo išdiferencijuotu</w:t>
                      </w:r>
                      <w:r>
                        <w:rPr>
                          <w:szCs w:val="24"/>
                        </w:rPr>
                        <w:t xml:space="preserve">s elektros energijos tarifus.“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5 p."/>
            <w:tag w:val="part_e4befbc4b6a94467b29d3f7693ad98b6"/>
            <w:id w:val="899877090"/>
            <w:lock w:val="sdtLocked"/>
          </w:sdtPr>
          <w:sdtEndPr/>
          <w:sdtContent>
            <w:p w14:paraId="1586FC38" w14:textId="40BCC3D5" w:rsidR="00E1217B" w:rsidRDefault="00F906A4">
              <w:pPr>
                <w:tabs>
                  <w:tab w:val="left" w:pos="993"/>
                </w:tabs>
                <w:suppressAutoHyphens/>
                <w:spacing w:line="252" w:lineRule="auto"/>
                <w:ind w:firstLine="709"/>
                <w:jc w:val="both"/>
                <w:textAlignment w:val="center"/>
                <w:rPr>
                  <w:szCs w:val="24"/>
                </w:rPr>
              </w:pPr>
              <w:sdt>
                <w:sdtPr>
                  <w:alias w:val="Numeris"/>
                  <w:tag w:val="nr_e4befbc4b6a94467b29d3f7693ad98b6"/>
                  <w:id w:val="-165861123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Pakeisti 123 punktą ir jį išdėstyti taip:</w:t>
              </w:r>
            </w:p>
            <w:sdt>
              <w:sdtPr>
                <w:alias w:val="citata"/>
                <w:tag w:val="part_d9b07943471c4437993dea1de3e5422e"/>
                <w:id w:val="-309324642"/>
                <w:lock w:val="sdtLocked"/>
              </w:sdtPr>
              <w:sdtEndPr/>
              <w:sdtContent>
                <w:sdt>
                  <w:sdtPr>
                    <w:alias w:val="123 p."/>
                    <w:tag w:val="part_972a77c1836b41348c6ea1e7d82a4039"/>
                    <w:id w:val="-889180472"/>
                    <w:lock w:val="sdtLocked"/>
                  </w:sdtPr>
                  <w:sdtEndPr/>
                  <w:sdtContent>
                    <w:p w14:paraId="423DDD06" w14:textId="6CA3C627" w:rsidR="00E1217B" w:rsidRDefault="00F906A4">
                      <w:pPr>
                        <w:tabs>
                          <w:tab w:val="left" w:pos="993"/>
                        </w:tabs>
                        <w:suppressAutoHyphens/>
                        <w:ind w:firstLine="709"/>
                        <w:jc w:val="both"/>
                        <w:rPr>
                          <w:rFonts w:eastAsia="Aptos"/>
                          <w:iCs/>
                          <w:kern w:val="2"/>
                          <w:szCs w:val="24"/>
                          <w14:ligatures w14:val="standardContextual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972a77c1836b41348c6ea1e7d82a4039"/>
                          <w:id w:val="67684873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rFonts w:eastAsia="Aptos"/>
                          <w:iCs/>
                          <w:kern w:val="2"/>
                          <w:szCs w:val="24"/>
                          <w14:ligatures w14:val="standardContextual"/>
                        </w:rPr>
                        <w:t xml:space="preserve"> Prognozuojama elektros energijos įsigijimo kaina pažeidžiamiems vartotojams nustatoma pagal formulę:</w:t>
                      </w:r>
                    </w:p>
                    <w:p w14:paraId="3B67084B" w14:textId="77777777" w:rsidR="00E1217B" w:rsidRDefault="00E1217B">
                      <w:pPr>
                        <w:tabs>
                          <w:tab w:val="left" w:pos="993"/>
                        </w:tabs>
                        <w:suppressAutoHyphens/>
                        <w:ind w:firstLine="709"/>
                        <w:jc w:val="both"/>
                        <w:rPr>
                          <w:rFonts w:eastAsia="Aptos"/>
                          <w:iCs/>
                          <w:kern w:val="2"/>
                          <w:szCs w:val="24"/>
                          <w14:ligatures w14:val="standardContextual"/>
                        </w:rPr>
                      </w:pPr>
                    </w:p>
                    <w:p w14:paraId="08DAF26D" w14:textId="0F2BB74A" w:rsidR="00E1217B" w:rsidRDefault="00F906A4">
                      <w:pPr>
                        <w:ind w:firstLine="709"/>
                        <w:jc w:val="center"/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</w:pPr>
                      <m:oMath>
                        <m:sSub>
                          <m:sSubPr>
                            <m:ctrlPr>
                              <w:rPr>
                                <w:rFonts w:ascii="Cambria Math" w:eastAsia="Aptos" w:hAnsi="Cambria Math"/>
                                <w:i/>
                                <w:kern w:val="2"/>
                                <w:szCs w:val="24"/>
                                <w:lang w:val="en-US"/>
                                <w14:ligatures w14:val="standardContextual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Aptos" w:hAnsi="Cambria Math"/>
                                <w:kern w:val="2"/>
                                <w:szCs w:val="24"/>
                                <w14:ligatures w14:val="standardContextual"/>
                              </w:rPr>
                              <m:t>T</m:t>
                            </m:r>
                          </m:e>
                          <m:sub>
                            <m:r>
                              <w:rPr>
                                <w:rFonts w:ascii="Cambria Math" w:eastAsia="Aptos" w:hAnsi="Cambria Math"/>
                                <w:kern w:val="2"/>
                                <w:szCs w:val="24"/>
                                <w14:ligatures w14:val="standardContextual"/>
                              </w:rPr>
                              <m:t>pv</m:t>
                            </m:r>
                            <m:r>
                              <w:rPr>
                                <w:rFonts w:ascii="Cambria Math" w:eastAsia="Aptos" w:hAnsi="Cambria Math"/>
                                <w:kern w:val="2"/>
                                <w:szCs w:val="24"/>
                                <w14:ligatures w14:val="standardContextual"/>
                              </w:rPr>
                              <m:t>,</m:t>
                            </m:r>
                            <m:r>
                              <w:rPr>
                                <w:rFonts w:ascii="Cambria Math" w:eastAsia="Aptos" w:hAnsi="Cambria Math"/>
                                <w:kern w:val="2"/>
                                <w:szCs w:val="24"/>
                                <w14:ligatures w14:val="standardContextual"/>
                              </w:rPr>
                              <m:t>t</m:t>
                            </m:r>
                          </m:sub>
                        </m:sSub>
                        <m:r>
                          <w:rPr>
                            <w:rFonts w:ascii="Cambria Math" w:eastAsia="Aptos" w:hAnsi="Cambria Math"/>
                            <w:kern w:val="2"/>
                            <w:szCs w:val="24"/>
                            <w14:ligatures w14:val="standardContextual"/>
                          </w:rPr>
                          <m:t>=</m:t>
                        </m:r>
                        <m:sSub>
                          <m:sSubPr>
                            <m:ctrlPr>
                              <w:rPr>
                                <w:rFonts w:ascii="Cambria Math" w:eastAsia="Aptos" w:hAnsi="Cambria Math"/>
                                <w:i/>
                                <w:kern w:val="2"/>
                                <w:szCs w:val="24"/>
                                <w:lang w:val="en-US"/>
                                <w14:ligatures w14:val="standardContextual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Aptos" w:hAnsi="Cambria Math"/>
                                <w:kern w:val="2"/>
                                <w:szCs w:val="24"/>
                                <w14:ligatures w14:val="standardContextual"/>
                              </w:rPr>
                              <m:t>TS</m:t>
                            </m:r>
                          </m:e>
                          <m:sub>
                            <m:r>
                              <w:rPr>
                                <w:rFonts w:ascii="Cambria Math" w:eastAsia="Aptos" w:hAnsi="Cambria Math"/>
                                <w:kern w:val="2"/>
                                <w:szCs w:val="24"/>
                                <w14:ligatures w14:val="standardContextual"/>
                              </w:rPr>
                              <m:t>pv</m:t>
                            </m:r>
                            <m:r>
                              <w:rPr>
                                <w:rFonts w:ascii="Cambria Math" w:eastAsia="Aptos" w:hAnsi="Cambria Math"/>
                                <w:kern w:val="2"/>
                                <w:szCs w:val="24"/>
                                <w14:ligatures w14:val="standardContextual"/>
                              </w:rPr>
                              <m:t>,</m:t>
                            </m:r>
                            <m:r>
                              <w:rPr>
                                <w:rFonts w:ascii="Cambria Math" w:eastAsia="Aptos" w:hAnsi="Cambria Math"/>
                                <w:kern w:val="2"/>
                                <w:szCs w:val="24"/>
                                <w14:ligatures w14:val="standardContextual"/>
                              </w:rPr>
                              <m:t>t</m:t>
                            </m:r>
                          </m:sub>
                        </m:sSub>
                        <m:sSub>
                          <m:sSubPr>
                            <m:ctrlPr>
                              <w:rPr>
                                <w:rFonts w:ascii="Cambria Math" w:eastAsia="Aptos" w:hAnsi="Cambria Math"/>
                                <w:i/>
                                <w:kern w:val="2"/>
                                <w:szCs w:val="24"/>
                                <w:lang w:val="en-US"/>
                                <w14:ligatures w14:val="standardContextual"/>
                              </w:rPr>
                            </m:ctrlPr>
                          </m:sSubPr>
                          <m:e>
                            <m:sSub>
                              <m:sSubPr>
                                <m:ctrlPr>
                                  <w:rPr>
                                    <w:rFonts w:ascii="Cambria Math" w:eastAsia="Aptos" w:hAnsi="Cambria Math"/>
                                    <w:i/>
                                    <w:kern w:val="2"/>
                                    <w:szCs w:val="24"/>
                                    <w:lang w:val="en-US"/>
                                    <w14:ligatures w14:val="standardContextual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eastAsia="Aptos" w:hAnsi="Cambria Math"/>
                                    <w:kern w:val="2"/>
                                    <w:szCs w:val="24"/>
                                    <w14:ligatures w14:val="standardContextual"/>
                                  </w:rPr>
                                  <m:t>+</m:t>
                                </m:r>
                                <m:r>
                                  <w:rPr>
                                    <w:rFonts w:ascii="Cambria Math" w:eastAsia="Aptos" w:hAnsi="Cambria Math"/>
                                    <w:kern w:val="2"/>
                                    <w:szCs w:val="24"/>
                                    <w14:ligatures w14:val="standardContextual"/>
                                  </w:rPr>
                                  <m:t>KPD</m:t>
                                </m:r>
                              </m:e>
                              <m:sub>
                                <m:r>
                                  <w:rPr>
                                    <w:rFonts w:ascii="Cambria Math" w:eastAsia="Aptos" w:hAnsi="Cambria Math"/>
                                    <w:kern w:val="2"/>
                                    <w:szCs w:val="24"/>
                                    <w14:ligatures w14:val="standardContextual"/>
                                  </w:rPr>
                                  <m:t>pv</m:t>
                                </m:r>
                                <m:r>
                                  <w:rPr>
                                    <w:rFonts w:ascii="Cambria Math" w:eastAsia="Aptos" w:hAnsi="Cambria Math"/>
                                    <w:kern w:val="2"/>
                                    <w:szCs w:val="24"/>
                                    <w14:ligatures w14:val="standardContextual"/>
                                  </w:rPr>
                                  <m:t>,</m:t>
                                </m:r>
                                <m:r>
                                  <w:rPr>
                                    <w:rFonts w:ascii="Cambria Math" w:eastAsia="Aptos" w:hAnsi="Cambria Math"/>
                                    <w:kern w:val="2"/>
                                    <w:szCs w:val="24"/>
                                    <w14:ligatures w14:val="standardContextual"/>
                                  </w:rPr>
                                  <m:t>t</m:t>
                                </m:r>
                              </m:sub>
                            </m:sSub>
                            <m:r>
                              <w:rPr>
                                <w:rFonts w:ascii="Cambria Math" w:eastAsia="Aptos" w:hAnsi="Cambria Math"/>
                                <w:kern w:val="2"/>
                                <w:szCs w:val="24"/>
                                <w14:ligatures w14:val="standardContextual"/>
                              </w:rPr>
                              <m:t>+</m:t>
                            </m:r>
                            <m:sSub>
                              <m:sSubPr>
                                <m:ctrlPr>
                                  <w:rPr>
                                    <w:rFonts w:ascii="Cambria Math" w:eastAsia="Aptos" w:hAnsi="Cambria Math"/>
                                    <w:i/>
                                    <w:kern w:val="2"/>
                                    <w:szCs w:val="24"/>
                                    <w14:ligatures w14:val="standardContextual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eastAsia="Aptos" w:hAnsi="Cambria Math"/>
                                    <w:kern w:val="2"/>
                                    <w:szCs w:val="24"/>
                                    <w14:ligatures w14:val="standardContextual"/>
                                  </w:rPr>
                                  <m:t>VK</m:t>
                                </m:r>
                              </m:e>
                              <m:sub>
                                <m:r>
                                  <w:rPr>
                                    <w:rFonts w:ascii="Cambria Math" w:eastAsia="Aptos" w:hAnsi="Cambria Math"/>
                                    <w:kern w:val="2"/>
                                    <w:szCs w:val="24"/>
                                    <w14:ligatures w14:val="standardContextual"/>
                                  </w:rPr>
                                  <m:t>pv</m:t>
                                </m:r>
                                <m:r>
                                  <w:rPr>
                                    <w:rFonts w:ascii="Cambria Math" w:eastAsia="Aptos" w:hAnsi="Cambria Math"/>
                                    <w:kern w:val="2"/>
                                    <w:szCs w:val="24"/>
                                    <w14:ligatures w14:val="standardContextual"/>
                                  </w:rPr>
                                  <m:t>,</m:t>
                                </m:r>
                                <m:r>
                                  <w:rPr>
                                    <w:rFonts w:ascii="Cambria Math" w:eastAsia="Aptos" w:hAnsi="Cambria Math"/>
                                    <w:kern w:val="2"/>
                                    <w:szCs w:val="24"/>
                                    <w14:ligatures w14:val="standardContextual"/>
                                  </w:rPr>
                                  <m:t>t</m:t>
                                </m:r>
                              </m:sub>
                            </m:sSub>
                            <m:r>
                              <w:rPr>
                                <w:rFonts w:ascii="Cambria Math" w:eastAsia="Aptos" w:hAnsi="Cambria Math"/>
                                <w:kern w:val="2"/>
                                <w:szCs w:val="24"/>
                                <w14:ligatures w14:val="standardContextual"/>
                              </w:rPr>
                              <m:t>+</m:t>
                            </m:r>
                            <m:r>
                              <w:rPr>
                                <w:rFonts w:ascii="Cambria Math" w:eastAsia="Aptos" w:hAnsi="Cambria Math"/>
                                <w:kern w:val="2"/>
                                <w:szCs w:val="24"/>
                                <w14:ligatures w14:val="standardContextual"/>
                              </w:rPr>
                              <m:t>B</m:t>
                            </m:r>
                          </m:e>
                          <m:sub>
                            <m:r>
                              <w:rPr>
                                <w:rFonts w:ascii="Cambria Math" w:eastAsia="Aptos" w:hAnsi="Cambria Math"/>
                                <w:kern w:val="2"/>
                                <w:szCs w:val="24"/>
                                <w14:ligatures w14:val="standardContextual"/>
                              </w:rPr>
                              <m:t>pv</m:t>
                            </m:r>
                            <m:r>
                              <w:rPr>
                                <w:rFonts w:ascii="Cambria Math" w:eastAsia="Aptos" w:hAnsi="Cambria Math"/>
                                <w:kern w:val="2"/>
                                <w:szCs w:val="24"/>
                                <w14:ligatures w14:val="standardContextual"/>
                              </w:rPr>
                              <m:t>,</m:t>
                            </m:r>
                            <m:r>
                              <w:rPr>
                                <w:rFonts w:ascii="Cambria Math" w:eastAsia="Aptos" w:hAnsi="Cambria Math"/>
                                <w:kern w:val="2"/>
                                <w:szCs w:val="24"/>
                                <w14:ligatures w14:val="standardContextual"/>
                              </w:rPr>
                              <m:t>t</m:t>
                            </m:r>
                          </m:sub>
                        </m:sSub>
                        <m:r>
                          <w:rPr>
                            <w:rFonts w:ascii="Cambria Math" w:eastAsia="Aptos" w:hAnsi="Cambria Math"/>
                            <w:kern w:val="2"/>
                            <w:szCs w:val="24"/>
                            <w14:ligatures w14:val="standardContextual"/>
                          </w:rPr>
                          <m:t>+</m:t>
                        </m:r>
                        <m:sSub>
                          <m:sSubPr>
                            <m:ctrlPr>
                              <w:rPr>
                                <w:rFonts w:ascii="Cambria Math" w:eastAsia="Aptos" w:hAnsi="Cambria Math"/>
                                <w:i/>
                                <w:kern w:val="2"/>
                                <w:szCs w:val="24"/>
                                <w:lang w:val="en-US"/>
                                <w14:ligatures w14:val="standardContextual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Aptos" w:hAnsi="Cambria Math"/>
                                <w:kern w:val="2"/>
                                <w:szCs w:val="24"/>
                                <w14:ligatures w14:val="standardContextual"/>
                              </w:rPr>
                              <m:t>D</m:t>
                            </m:r>
                            <m:r>
                              <w:rPr>
                                <w:rFonts w:ascii="Cambria Math" w:eastAsia="Aptos" w:hAnsi="Cambria Math"/>
                                <w:kern w:val="2"/>
                                <w:szCs w:val="24"/>
                                <w14:ligatures w14:val="standardContextual"/>
                              </w:rPr>
                              <m:t>B</m:t>
                            </m:r>
                          </m:e>
                          <m:sub>
                            <m:r>
                              <w:rPr>
                                <w:rFonts w:ascii="Cambria Math" w:eastAsia="Aptos" w:hAnsi="Cambria Math"/>
                                <w:kern w:val="2"/>
                                <w:szCs w:val="24"/>
                                <w14:ligatures w14:val="standardContextual"/>
                              </w:rPr>
                              <m:t>t</m:t>
                            </m:r>
                          </m:sub>
                        </m:sSub>
                        <m:r>
                          <w:rPr>
                            <w:rFonts w:ascii="Cambria Math" w:eastAsia="Aptos" w:hAnsi="Cambria Math"/>
                            <w:kern w:val="2"/>
                            <w:szCs w:val="24"/>
                            <w:lang w:val="en-US"/>
                            <w14:ligatures w14:val="standardContextual"/>
                          </w:rPr>
                          <m:t xml:space="preserve">+ </m:t>
                        </m:r>
                        <m:sSub>
                          <m:sSubPr>
                            <m:ctrlPr>
                              <w:rPr>
                                <w:rFonts w:ascii="Cambria Math" w:eastAsia="Aptos" w:hAnsi="Cambria Math"/>
                                <w:i/>
                                <w:kern w:val="2"/>
                                <w:szCs w:val="24"/>
                                <w:lang w:val="en-US"/>
                                <w14:ligatures w14:val="standardContextual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Aptos" w:hAnsi="Cambria Math"/>
                                <w:kern w:val="2"/>
                                <w:szCs w:val="24"/>
                                <w14:ligatures w14:val="standardContextual"/>
                              </w:rPr>
                              <m:t>IP</m:t>
                            </m:r>
                          </m:e>
                          <m:sub>
                            <m:r>
                              <w:rPr>
                                <w:rFonts w:ascii="Cambria Math" w:eastAsia="Aptos" w:hAnsi="Cambria Math"/>
                                <w:kern w:val="2"/>
                                <w:szCs w:val="24"/>
                                <w14:ligatures w14:val="standardContextual"/>
                              </w:rPr>
                              <m:t>t</m:t>
                            </m:r>
                          </m:sub>
                        </m:sSub>
                        <m:sSub>
                          <m:sSubPr>
                            <m:ctrlPr>
                              <w:rPr>
                                <w:rFonts w:ascii="Cambria Math" w:eastAsia="Aptos" w:hAnsi="Cambria Math"/>
                                <w:i/>
                                <w:kern w:val="2"/>
                                <w:szCs w:val="24"/>
                                <w:lang w:val="en-US"/>
                                <w14:ligatures w14:val="standardContextual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Aptos" w:hAnsi="Cambria Math"/>
                                <w:kern w:val="2"/>
                                <w:szCs w:val="24"/>
                                <w14:ligatures w14:val="standardContextual"/>
                              </w:rPr>
                              <m:t>+</m:t>
                            </m:r>
                            <m:r>
                              <w:rPr>
                                <w:rFonts w:ascii="Cambria Math" w:eastAsia="Aptos" w:hAnsi="Cambria Math"/>
                                <w:kern w:val="2"/>
                                <w:szCs w:val="24"/>
                                <w14:ligatures w14:val="standardContextual"/>
                              </w:rPr>
                              <m:t>SN</m:t>
                            </m:r>
                          </m:e>
                          <m:sub>
                            <m:r>
                              <w:rPr>
                                <w:rFonts w:ascii="Cambria Math" w:eastAsia="Aptos" w:hAnsi="Cambria Math"/>
                                <w:kern w:val="2"/>
                                <w:szCs w:val="24"/>
                                <w14:ligatures w14:val="standardContextual"/>
                              </w:rPr>
                              <m:t>pv</m:t>
                            </m:r>
                            <m:r>
                              <w:rPr>
                                <w:rFonts w:ascii="Cambria Math" w:eastAsia="Aptos" w:hAnsi="Cambria Math"/>
                                <w:kern w:val="2"/>
                                <w:szCs w:val="24"/>
                                <w14:ligatures w14:val="standardContextual"/>
                              </w:rPr>
                              <m:t>,</m:t>
                            </m:r>
                            <m:r>
                              <w:rPr>
                                <w:rFonts w:ascii="Cambria Math" w:eastAsia="Aptos" w:hAnsi="Cambria Math"/>
                                <w:kern w:val="2"/>
                                <w:szCs w:val="24"/>
                                <w14:ligatures w14:val="standardContextual"/>
                              </w:rPr>
                              <m:t>t</m:t>
                            </m:r>
                          </m:sub>
                        </m:sSub>
                        <m:r>
                          <w:rPr>
                            <w:rFonts w:ascii="Cambria Math" w:eastAsia="Aptos" w:hAnsi="Cambria Math"/>
                            <w:kern w:val="2"/>
                            <w:szCs w:val="24"/>
                            <w:lang w:val="en-US"/>
                            <w14:ligatures w14:val="standardContextual"/>
                          </w:rPr>
                          <m:t>+</m:t>
                        </m:r>
                        <m:sSub>
                          <m:sSubPr>
                            <m:ctrlPr>
                              <w:rPr>
                                <w:rFonts w:ascii="Cambria Math" w:eastAsia="Aptos" w:hAnsi="Cambria Math"/>
                                <w:i/>
                                <w:kern w:val="2"/>
                                <w:szCs w:val="24"/>
                                <w:lang w:val="en-US"/>
                                <w14:ligatures w14:val="standardContextual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Aptos" w:hAnsi="Cambria Math"/>
                                <w:kern w:val="2"/>
                                <w:szCs w:val="24"/>
                                <w14:ligatures w14:val="standardContextual"/>
                              </w:rPr>
                              <m:t>SK</m:t>
                            </m:r>
                          </m:e>
                          <m:sub>
                            <m:r>
                              <w:rPr>
                                <w:rFonts w:ascii="Cambria Math" w:eastAsia="Aptos" w:hAnsi="Cambria Math"/>
                                <w:kern w:val="2"/>
                                <w:szCs w:val="24"/>
                                <w14:ligatures w14:val="standardContextual"/>
                              </w:rPr>
                              <m:t>pv</m:t>
                            </m:r>
                            <m:r>
                              <w:rPr>
                                <w:rFonts w:ascii="Cambria Math" w:eastAsia="Aptos" w:hAnsi="Cambria Math"/>
                                <w:kern w:val="2"/>
                                <w:szCs w:val="24"/>
                                <w14:ligatures w14:val="standardContextual"/>
                              </w:rPr>
                              <m:t>,</m:t>
                            </m:r>
                            <m:r>
                              <w:rPr>
                                <w:rFonts w:ascii="Cambria Math" w:eastAsia="Aptos" w:hAnsi="Cambria Math"/>
                                <w:kern w:val="2"/>
                                <w:szCs w:val="24"/>
                                <w14:ligatures w14:val="standardContextual"/>
                              </w:rPr>
                              <m:t>t</m:t>
                            </m:r>
                          </m:sub>
                        </m:sSub>
                      </m:oMath>
                      <w:r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  <w:t>, Eur/kWh (7</w:t>
                      </w:r>
                      <w:r>
                        <w:rPr>
                          <w:rFonts w:eastAsia="Aptos"/>
                          <w:kern w:val="2"/>
                          <w:szCs w:val="24"/>
                          <w:lang w:val="en-US"/>
                          <w14:ligatures w14:val="standardContextual"/>
                        </w:rPr>
                        <w:t>7</w:t>
                      </w:r>
                      <w:r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  <w:t>)</w:t>
                      </w:r>
                    </w:p>
                    <w:p w14:paraId="2F86E904" w14:textId="77777777" w:rsidR="00E1217B" w:rsidRDefault="00E1217B">
                      <w:pPr>
                        <w:ind w:firstLine="709"/>
                        <w:jc w:val="center"/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</w:pPr>
                    </w:p>
                    <w:p w14:paraId="5292FA6A" w14:textId="77777777" w:rsidR="00E1217B" w:rsidRDefault="00F906A4">
                      <w:pPr>
                        <w:tabs>
                          <w:tab w:val="left" w:pos="993"/>
                        </w:tabs>
                        <w:suppressAutoHyphens/>
                        <w:ind w:firstLine="709"/>
                        <w:jc w:val="both"/>
                        <w:rPr>
                          <w:rFonts w:eastAsia="Aptos"/>
                          <w:iCs/>
                          <w:kern w:val="2"/>
                          <w:szCs w:val="24"/>
                          <w14:ligatures w14:val="standardContextual"/>
                        </w:rPr>
                      </w:pPr>
                      <w:r>
                        <w:rPr>
                          <w:rFonts w:eastAsia="Aptos"/>
                          <w:iCs/>
                          <w:kern w:val="2"/>
                          <w:szCs w:val="24"/>
                          <w14:ligatures w14:val="standardContextual"/>
                        </w:rPr>
                        <w:t>čia:</w:t>
                      </w:r>
                    </w:p>
                    <w:p w14:paraId="6B9DA4E6" w14:textId="77777777" w:rsidR="00E1217B" w:rsidRDefault="00F906A4">
                      <w:pPr>
                        <w:ind w:firstLine="709"/>
                        <w:jc w:val="both"/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</w:pPr>
                      <w:proofErr w:type="spellStart"/>
                      <w:r>
                        <w:rPr>
                          <w:rFonts w:eastAsia="Aptos"/>
                          <w:i/>
                          <w:iCs/>
                          <w:kern w:val="2"/>
                          <w:szCs w:val="24"/>
                          <w14:ligatures w14:val="standardContextual"/>
                        </w:rPr>
                        <w:t>T</w:t>
                      </w:r>
                      <w:r>
                        <w:rPr>
                          <w:rFonts w:eastAsia="Aptos"/>
                          <w:i/>
                          <w:iCs/>
                          <w:kern w:val="2"/>
                          <w:szCs w:val="24"/>
                          <w:vertAlign w:val="subscript"/>
                          <w14:ligatures w14:val="standardContextual"/>
                        </w:rPr>
                        <w:t>pv,t</w:t>
                      </w:r>
                      <w:proofErr w:type="spellEnd"/>
                      <w:r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  <w:t xml:space="preserve"> – prognozuojama elektros energijos įsigijimo kaina </w:t>
                      </w:r>
                      <w:r>
                        <w:rPr>
                          <w:rFonts w:eastAsia="Aptos"/>
                          <w:i/>
                          <w:iCs/>
                          <w:kern w:val="2"/>
                          <w:szCs w:val="24"/>
                          <w14:ligatures w14:val="standardContextual"/>
                        </w:rPr>
                        <w:t>t</w:t>
                      </w:r>
                      <w:r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  <w:t xml:space="preserve"> metais pažeidžiamiems vartotojams, EUR/kWh;</w:t>
                      </w:r>
                    </w:p>
                    <w:p w14:paraId="19CBF714" w14:textId="77777777" w:rsidR="00E1217B" w:rsidRDefault="00F906A4">
                      <w:pPr>
                        <w:ind w:firstLine="709"/>
                        <w:jc w:val="both"/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</w:pPr>
                      <w:proofErr w:type="spellStart"/>
                      <w:r>
                        <w:rPr>
                          <w:rFonts w:eastAsia="Aptos"/>
                          <w:i/>
                          <w:iCs/>
                          <w:kern w:val="2"/>
                          <w:szCs w:val="24"/>
                          <w14:ligatures w14:val="standardContextual"/>
                        </w:rPr>
                        <w:t>TS</w:t>
                      </w:r>
                      <w:r>
                        <w:rPr>
                          <w:rFonts w:eastAsia="Aptos"/>
                          <w:i/>
                          <w:iCs/>
                          <w:kern w:val="2"/>
                          <w:szCs w:val="24"/>
                          <w:vertAlign w:val="subscript"/>
                          <w14:ligatures w14:val="standardContextual"/>
                        </w:rPr>
                        <w:t>pv,t</w:t>
                      </w:r>
                      <w:proofErr w:type="spellEnd"/>
                      <w:r>
                        <w:rPr>
                          <w:rFonts w:eastAsia="Aptos"/>
                          <w:kern w:val="2"/>
                          <w:szCs w:val="24"/>
                          <w:vertAlign w:val="subscript"/>
                          <w14:ligatures w14:val="standardContextual"/>
                        </w:rPr>
                        <w:t xml:space="preserve"> </w:t>
                      </w:r>
                      <w:r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  <w:t xml:space="preserve">– vidutinė svertinė prognozuojama elektros energijos pažeidžiamiems vartotojams kaina, </w:t>
                      </w:r>
                      <w:r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  <w:t>apskaičiuota pagal Metodikos 114 punkto nuostatas sudarytas ir (ar) planuojamas sudaryti dvišales elektros energijos įsigijimo sutartis, galiosiančias visuomeninės kainos viršutinės ribos taikymo laikotarpiu, pagal kurias elektros energiją numatoma įsigyti</w:t>
                      </w:r>
                      <w:r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  <w:t xml:space="preserve"> pažeidžiamiems vartotojams, laikantis Metodikos 122 punkte nustatyto reikalavimo, ir pagal Metodikos 115 punktą visuomeninio tiekėjo prognozuojamą biržoje įsigyjamos elektros energijos kainą, EUR/kWh;</w:t>
                      </w:r>
                    </w:p>
                    <w:p w14:paraId="40D286EB" w14:textId="5DC23AAA" w:rsidR="00E1217B" w:rsidRDefault="00F906A4">
                      <w:pPr>
                        <w:ind w:firstLine="709"/>
                        <w:jc w:val="both"/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</w:pPr>
                      <w:proofErr w:type="spellStart"/>
                      <w:r>
                        <w:rPr>
                          <w:rFonts w:eastAsia="Aptos"/>
                          <w:i/>
                          <w:iCs/>
                          <w:kern w:val="2"/>
                          <w:szCs w:val="24"/>
                          <w14:ligatures w14:val="standardContextual"/>
                        </w:rPr>
                        <w:t>KPD</w:t>
                      </w:r>
                      <w:r>
                        <w:rPr>
                          <w:rFonts w:eastAsia="Aptos"/>
                          <w:i/>
                          <w:iCs/>
                          <w:kern w:val="2"/>
                          <w:szCs w:val="24"/>
                          <w:vertAlign w:val="subscript"/>
                          <w14:ligatures w14:val="standardContextual"/>
                        </w:rPr>
                        <w:t>pv,t</w:t>
                      </w:r>
                      <w:proofErr w:type="spellEnd"/>
                      <w:r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  <w:t xml:space="preserve"> – kainą mažinanti dedamoji pažeidžiamiems vart</w:t>
                      </w:r>
                      <w:r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  <w:t>otojams, jeigu visuomeninis tiekėjas pasiūlė ją taikyti, EUR/kWh;</w:t>
                      </w:r>
                    </w:p>
                    <w:p w14:paraId="678EB83D" w14:textId="3D695FBD" w:rsidR="00E1217B" w:rsidRDefault="00F906A4">
                      <w:pPr>
                        <w:ind w:firstLine="709"/>
                        <w:jc w:val="both"/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</w:pPr>
                      <w:proofErr w:type="spellStart"/>
                      <w:r>
                        <w:rPr>
                          <w:rFonts w:eastAsia="Aptos"/>
                          <w:i/>
                          <w:iCs/>
                          <w:kern w:val="2"/>
                          <w:szCs w:val="24"/>
                          <w14:ligatures w14:val="standardContextual"/>
                        </w:rPr>
                        <w:t>VK</w:t>
                      </w:r>
                      <w:r>
                        <w:rPr>
                          <w:rFonts w:eastAsia="Aptos"/>
                          <w:i/>
                          <w:iCs/>
                          <w:kern w:val="2"/>
                          <w:szCs w:val="24"/>
                          <w:vertAlign w:val="subscript"/>
                          <w14:ligatures w14:val="standardContextual"/>
                        </w:rPr>
                        <w:t>pv,t</w:t>
                      </w:r>
                      <w:proofErr w:type="spellEnd"/>
                      <w:r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  <w:t xml:space="preserve"> – Vyriausybės nutarimu nustatytas dydis, mažinantis pažeidžiamiems vartotojams elektros energijos kainas </w:t>
                      </w:r>
                      <w:r>
                        <w:rPr>
                          <w:rFonts w:eastAsia="Aptos"/>
                          <w:i/>
                          <w:iCs/>
                          <w:kern w:val="2"/>
                          <w:szCs w:val="24"/>
                          <w14:ligatures w14:val="standardContextual"/>
                        </w:rPr>
                        <w:t xml:space="preserve">t </w:t>
                      </w:r>
                      <w:r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  <w:t>metais, jeigu tokį dydį Vyriausybė nustatė, EUR/kWh (formulėje nurodomas kai</w:t>
                      </w:r>
                      <w:r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  <w:t>p neigiamas dydis);</w:t>
                      </w:r>
                    </w:p>
                    <w:p w14:paraId="693EF850" w14:textId="476EA237" w:rsidR="00E1217B" w:rsidRDefault="00F906A4">
                      <w:pPr>
                        <w:ind w:firstLine="709"/>
                        <w:jc w:val="both"/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</w:pPr>
                      <w:proofErr w:type="spellStart"/>
                      <w:r>
                        <w:rPr>
                          <w:rFonts w:eastAsia="Aptos"/>
                          <w:i/>
                          <w:iCs/>
                          <w:kern w:val="2"/>
                          <w:szCs w:val="24"/>
                          <w14:ligatures w14:val="standardContextual"/>
                        </w:rPr>
                        <w:t>B</w:t>
                      </w:r>
                      <w:r>
                        <w:rPr>
                          <w:rFonts w:eastAsia="Aptos"/>
                          <w:i/>
                          <w:iCs/>
                          <w:kern w:val="2"/>
                          <w:szCs w:val="24"/>
                          <w:vertAlign w:val="subscript"/>
                          <w14:ligatures w14:val="standardContextual"/>
                        </w:rPr>
                        <w:t>pvt</w:t>
                      </w:r>
                      <w:proofErr w:type="spellEnd"/>
                      <w:r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  <w:t xml:space="preserve"> – pažeidžiamiems vartotojams elektros energijos biržos mokestis </w:t>
                      </w:r>
                      <w:r>
                        <w:rPr>
                          <w:rFonts w:eastAsia="Aptos"/>
                          <w:i/>
                          <w:iCs/>
                          <w:kern w:val="2"/>
                          <w:szCs w:val="24"/>
                          <w14:ligatures w14:val="standardContextual"/>
                        </w:rPr>
                        <w:t>t</w:t>
                      </w:r>
                      <w:r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  <w:t xml:space="preserve"> metais, tenkantis 1 kilovatvalandei, EUR/kWh; </w:t>
                      </w:r>
                    </w:p>
                    <w:p w14:paraId="2FC91471" w14:textId="34F42D71" w:rsidR="00E1217B" w:rsidRDefault="00F906A4">
                      <w:pPr>
                        <w:ind w:firstLine="709"/>
                        <w:jc w:val="both"/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</w:pPr>
                      <w:proofErr w:type="spellStart"/>
                      <w:r>
                        <w:rPr>
                          <w:rFonts w:eastAsia="Aptos"/>
                          <w:i/>
                          <w:iCs/>
                          <w:kern w:val="2"/>
                          <w:szCs w:val="24"/>
                          <w14:ligatures w14:val="standardContextual"/>
                        </w:rPr>
                        <w:t>DB</w:t>
                      </w:r>
                      <w:r>
                        <w:rPr>
                          <w:rFonts w:eastAsia="Aptos"/>
                          <w:i/>
                          <w:iCs/>
                          <w:kern w:val="2"/>
                          <w:szCs w:val="24"/>
                          <w:vertAlign w:val="subscript"/>
                          <w14:ligatures w14:val="standardContextual"/>
                        </w:rPr>
                        <w:t>t</w:t>
                      </w:r>
                      <w:proofErr w:type="spellEnd"/>
                      <w:r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  <w:t xml:space="preserve"> – visuomeninio tiekėjo prognozuojamos patirti disbalanso elektros energijos rinkoje sąnaudos </w:t>
                      </w:r>
                      <w:r>
                        <w:rPr>
                          <w:rFonts w:eastAsia="Aptos"/>
                          <w:i/>
                          <w:iCs/>
                          <w:kern w:val="2"/>
                          <w:szCs w:val="24"/>
                          <w14:ligatures w14:val="standardContextual"/>
                        </w:rPr>
                        <w:t>t</w:t>
                      </w:r>
                      <w:r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  <w:t xml:space="preserve"> metais, tenkančios 1 kilovatvalandei, EUR/kWh; </w:t>
                      </w:r>
                    </w:p>
                    <w:p w14:paraId="502204CC" w14:textId="168014C8" w:rsidR="00E1217B" w:rsidRDefault="00F906A4">
                      <w:pPr>
                        <w:ind w:firstLine="709"/>
                        <w:jc w:val="both"/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</w:pPr>
                      <w:proofErr w:type="spellStart"/>
                      <w:r>
                        <w:rPr>
                          <w:rFonts w:eastAsia="Aptos"/>
                          <w:i/>
                          <w:iCs/>
                          <w:kern w:val="2"/>
                          <w:szCs w:val="24"/>
                          <w14:ligatures w14:val="standardContextual"/>
                        </w:rPr>
                        <w:t>IP</w:t>
                      </w:r>
                      <w:r>
                        <w:rPr>
                          <w:rFonts w:eastAsia="Aptos"/>
                          <w:i/>
                          <w:iCs/>
                          <w:kern w:val="2"/>
                          <w:szCs w:val="24"/>
                          <w:vertAlign w:val="subscript"/>
                          <w14:ligatures w14:val="standardContextual"/>
                        </w:rPr>
                        <w:t>t</w:t>
                      </w:r>
                      <w:proofErr w:type="spellEnd"/>
                      <w:r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  <w:t xml:space="preserve"> – visuomeninio tiekėjo prognozuojamos patirti išvestinių finansinių priemonių sąnaudos </w:t>
                      </w:r>
                      <w:r>
                        <w:rPr>
                          <w:rFonts w:eastAsia="Aptos"/>
                          <w:i/>
                          <w:iCs/>
                          <w:kern w:val="2"/>
                          <w:szCs w:val="24"/>
                          <w14:ligatures w14:val="standardContextual"/>
                        </w:rPr>
                        <w:t>t</w:t>
                      </w:r>
                      <w:r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  <w:t xml:space="preserve"> metais, tenkančios 1 kilovatvalandei, EUR/kWh; </w:t>
                      </w:r>
                    </w:p>
                    <w:p w14:paraId="441EE678" w14:textId="11676657" w:rsidR="00E1217B" w:rsidRDefault="00F906A4">
                      <w:pPr>
                        <w:ind w:firstLine="709"/>
                        <w:jc w:val="both"/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</w:pPr>
                      <w:proofErr w:type="spellStart"/>
                      <w:r>
                        <w:rPr>
                          <w:rFonts w:eastAsia="Aptos"/>
                          <w:i/>
                          <w:iCs/>
                          <w:kern w:val="2"/>
                          <w:szCs w:val="24"/>
                          <w14:ligatures w14:val="standardContextual"/>
                        </w:rPr>
                        <w:t>SN</w:t>
                      </w:r>
                      <w:r>
                        <w:rPr>
                          <w:rFonts w:eastAsia="Aptos"/>
                          <w:i/>
                          <w:iCs/>
                          <w:kern w:val="2"/>
                          <w:szCs w:val="24"/>
                          <w:vertAlign w:val="subscript"/>
                          <w14:ligatures w14:val="standardContextual"/>
                        </w:rPr>
                        <w:t>pv,t</w:t>
                      </w:r>
                      <w:proofErr w:type="spellEnd"/>
                      <w:r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  <w:t xml:space="preserve"> – praėjusiu laikotarpiu pažeidžiamiems vartotojams patiekto</w:t>
                      </w:r>
                      <w:r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  <w:t>s elektros energijos faktinių įsigijimo sąnaudų ir prognozuotų elektros energijos įsigijimo sąnaudų (įskaitant kainą mažinančią dedamąją pažeidžiamiems vartotojams, jeigu buvo taikyta)</w:t>
                      </w:r>
                      <w:r>
                        <w:rPr>
                          <w:rFonts w:eastAsia="Aptos"/>
                          <w:i/>
                          <w:iCs/>
                          <w:kern w:val="2"/>
                          <w:szCs w:val="24"/>
                          <w14:ligatures w14:val="standardContextual"/>
                        </w:rPr>
                        <w:t xml:space="preserve"> </w:t>
                      </w:r>
                      <w:r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  <w:t>skirtumas (išskyrus pagal Metodikos 128 punktą pažeidžiamiems vartotoja</w:t>
                      </w:r>
                      <w:r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  <w:t>ms paskaičiuotą skirtumą) arba jo dalis, jei Tarybos sprendimu susidariusį pažeidžiamiems vartotojams elektros energijos įsigijimo sąnaudų skirtumą planuojama išdėstyti per ilgesnį laikotarpį, nei nustatoma visuomeninės kainos viršutinė riba, tenkantis paž</w:t>
                      </w:r>
                      <w:r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  <w:t>eidžiamiems vartotojams prognozuojamo patiekti kiekio 1 kilovatvalandei, EUR/kWh;</w:t>
                      </w:r>
                    </w:p>
                    <w:p w14:paraId="015C4176" w14:textId="6E07D6C6" w:rsidR="00E1217B" w:rsidRDefault="00F906A4">
                      <w:pPr>
                        <w:tabs>
                          <w:tab w:val="left" w:pos="993"/>
                        </w:tabs>
                        <w:suppressAutoHyphens/>
                        <w:ind w:firstLine="709"/>
                        <w:jc w:val="both"/>
                        <w:textAlignment w:val="center"/>
                        <w:rPr>
                          <w:szCs w:val="24"/>
                        </w:rPr>
                      </w:pPr>
                      <w:proofErr w:type="spellStart"/>
                      <w:r>
                        <w:rPr>
                          <w:rFonts w:eastAsia="Aptos"/>
                          <w:i/>
                          <w:iCs/>
                          <w:kern w:val="2"/>
                          <w:szCs w:val="24"/>
                          <w14:ligatures w14:val="standardContextual"/>
                        </w:rPr>
                        <w:t>SK</w:t>
                      </w:r>
                      <w:r>
                        <w:rPr>
                          <w:rFonts w:eastAsia="Aptos"/>
                          <w:i/>
                          <w:iCs/>
                          <w:kern w:val="2"/>
                          <w:szCs w:val="24"/>
                          <w:vertAlign w:val="subscript"/>
                          <w14:ligatures w14:val="standardContextual"/>
                        </w:rPr>
                        <w:t>pv,t</w:t>
                      </w:r>
                      <w:proofErr w:type="spellEnd"/>
                      <w:r>
                        <w:rPr>
                          <w:rFonts w:eastAsia="Aptos"/>
                          <w:kern w:val="2"/>
                          <w:szCs w:val="24"/>
                          <w:vertAlign w:val="subscript"/>
                          <w14:ligatures w14:val="standardContextual"/>
                        </w:rPr>
                        <w:t xml:space="preserve"> </w:t>
                      </w:r>
                      <w:r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  <w:t>– pagal Metodikos 128 punktą apskaičiuotas skirtumas, susidaręs dėl visuomeninio tiekėjo pažeidžiamų vartotojų visuomeninės elektros energijos kainos viršutinėje riboj</w:t>
                      </w:r>
                      <w:r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  <w:t xml:space="preserve">e taikytų ir faktinių elektros energijos skirstymo paslaugų VĮ ir ŽĮ tinkluose kainų, visuomeniniam tiekėjui veikiant kelių STO licencijuojamos veiklos teritorijose, </w:t>
                      </w:r>
                      <w:r>
                        <w:rPr>
                          <w:rFonts w:eastAsia="Aptos"/>
                          <w:i/>
                          <w:iCs/>
                          <w:kern w:val="2"/>
                          <w:szCs w:val="24"/>
                          <w14:ligatures w14:val="standardContextual"/>
                        </w:rPr>
                        <w:t>t-2</w:t>
                      </w:r>
                      <w:r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  <w:t xml:space="preserve"> metais, EUR/kWh</w:t>
                      </w:r>
                      <w:r>
                        <w:rPr>
                          <w:szCs w:val="24"/>
                        </w:rPr>
                        <w:t>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6 p."/>
            <w:tag w:val="part_0a01f6489b6f433f9757970d131f88a1"/>
            <w:id w:val="1804963755"/>
            <w:lock w:val="sdtLocked"/>
          </w:sdtPr>
          <w:sdtEndPr/>
          <w:sdtContent>
            <w:p w14:paraId="1F53EFEE" w14:textId="2E7B42F8" w:rsidR="00E1217B" w:rsidRDefault="00F906A4">
              <w:pPr>
                <w:tabs>
                  <w:tab w:val="left" w:pos="993"/>
                </w:tabs>
                <w:suppressAutoHyphens/>
                <w:spacing w:line="252" w:lineRule="auto"/>
                <w:ind w:firstLine="709"/>
                <w:jc w:val="both"/>
                <w:textAlignment w:val="center"/>
                <w:rPr>
                  <w:szCs w:val="24"/>
                </w:rPr>
              </w:pPr>
              <w:sdt>
                <w:sdtPr>
                  <w:alias w:val="Numeris"/>
                  <w:tag w:val="nr_0a01f6489b6f433f9757970d131f88a1"/>
                  <w:id w:val="6731375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Pakeisti 124 punktą ir jį išdėstyti taip:</w:t>
              </w:r>
            </w:p>
            <w:sdt>
              <w:sdtPr>
                <w:alias w:val="citata"/>
                <w:tag w:val="part_9a695162068a41e1b87d5d0a1aba24f0"/>
                <w:id w:val="-446691653"/>
                <w:lock w:val="sdtLocked"/>
              </w:sdtPr>
              <w:sdtEndPr/>
              <w:sdtContent>
                <w:sdt>
                  <w:sdtPr>
                    <w:alias w:val="124 p."/>
                    <w:tag w:val="part_6d55b1b45e274b0c9442fc7834d8fa06"/>
                    <w:id w:val="1470861687"/>
                    <w:lock w:val="sdtLocked"/>
                  </w:sdtPr>
                  <w:sdtEndPr/>
                  <w:sdtContent>
                    <w:p w14:paraId="073631D2" w14:textId="4CBD6830" w:rsidR="00E1217B" w:rsidRDefault="00F906A4">
                      <w:pPr>
                        <w:tabs>
                          <w:tab w:val="left" w:pos="993"/>
                        </w:tabs>
                        <w:suppressAutoHyphens/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6d55b1b45e274b0c9442fc7834d8fa06"/>
                          <w:id w:val="95082600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Prognozuojama elektros energijos įsigijimo kaina kitiems vartotojams nustatoma pagal formulę:</w:t>
                      </w:r>
                    </w:p>
                    <w:p w14:paraId="4521F205" w14:textId="77777777" w:rsidR="00E1217B" w:rsidRDefault="00E1217B">
                      <w:pPr>
                        <w:tabs>
                          <w:tab w:val="left" w:pos="993"/>
                        </w:tabs>
                        <w:suppressAutoHyphens/>
                        <w:ind w:left="709"/>
                        <w:jc w:val="both"/>
                        <w:rPr>
                          <w:szCs w:val="24"/>
                        </w:rPr>
                      </w:pPr>
                    </w:p>
                    <w:p w14:paraId="424E9484" w14:textId="5DF0FFA9" w:rsidR="00E1217B" w:rsidRDefault="00F906A4">
                      <w:pPr>
                        <w:ind w:firstLine="709"/>
                        <w:jc w:val="center"/>
                        <w:rPr>
                          <w:szCs w:val="24"/>
                        </w:rPr>
                      </w:pPr>
                      <m:oMath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Cs w:val="24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Cs w:val="24"/>
                              </w:rPr>
                              <m:t>T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Cs w:val="24"/>
                                <w:lang w:val="en-US"/>
                              </w:rPr>
                              <m:t>k</m:t>
                            </m:r>
                            <m:r>
                              <w:rPr>
                                <w:rFonts w:ascii="Cambria Math" w:hAnsi="Cambria Math"/>
                                <w:szCs w:val="24"/>
                              </w:rPr>
                              <m:t>v</m:t>
                            </m:r>
                            <m:r>
                              <w:rPr>
                                <w:rFonts w:ascii="Cambria Math" w:hAnsi="Cambria Math"/>
                                <w:szCs w:val="24"/>
                              </w:rPr>
                              <m:t>,</m:t>
                            </m:r>
                            <m:r>
                              <w:rPr>
                                <w:rFonts w:ascii="Cambria Math" w:hAnsi="Cambria Math"/>
                                <w:szCs w:val="24"/>
                              </w:rPr>
                              <m:t>t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  <w:szCs w:val="24"/>
                          </w:rPr>
                          <m:t>=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Cs w:val="24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Cs w:val="24"/>
                              </w:rPr>
                              <m:t>TS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Cs w:val="24"/>
                                <w:lang w:val="en-US"/>
                              </w:rPr>
                              <m:t>k</m:t>
                            </m:r>
                            <m:r>
                              <w:rPr>
                                <w:rFonts w:ascii="Cambria Math" w:hAnsi="Cambria Math"/>
                                <w:szCs w:val="24"/>
                              </w:rPr>
                              <m:t>v</m:t>
                            </m:r>
                            <m:r>
                              <w:rPr>
                                <w:rFonts w:ascii="Cambria Math" w:hAnsi="Cambria Math"/>
                                <w:szCs w:val="24"/>
                              </w:rPr>
                              <m:t>,</m:t>
                            </m:r>
                            <m:r>
                              <w:rPr>
                                <w:rFonts w:ascii="Cambria Math" w:hAnsi="Cambria Math"/>
                                <w:szCs w:val="24"/>
                              </w:rPr>
                              <m:t>t</m:t>
                            </m:r>
                          </m:sub>
                        </m:sSub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Cs w:val="24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Cs w:val="24"/>
                              </w:rPr>
                              <m:t>+</m:t>
                            </m:r>
                            <m:r>
                              <w:rPr>
                                <w:rFonts w:ascii="Cambria Math" w:hAnsi="Cambria Math"/>
                                <w:szCs w:val="24"/>
                              </w:rPr>
                              <m:t>KPD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Cs w:val="24"/>
                              </w:rPr>
                              <m:t>kv</m:t>
                            </m:r>
                            <m:r>
                              <w:rPr>
                                <w:rFonts w:ascii="Cambria Math" w:hAnsi="Cambria Math"/>
                                <w:szCs w:val="24"/>
                              </w:rPr>
                              <m:t>,</m:t>
                            </m:r>
                            <m:r>
                              <w:rPr>
                                <w:rFonts w:ascii="Cambria Math" w:hAnsi="Cambria Math"/>
                                <w:szCs w:val="24"/>
                              </w:rPr>
                              <m:t>t</m:t>
                            </m:r>
                          </m:sub>
                        </m:sSub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Cs w:val="24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Aptos" w:hAnsi="Cambria Math"/>
                                <w:kern w:val="2"/>
                                <w:szCs w:val="24"/>
                                <w14:ligatures w14:val="standardContextual"/>
                              </w:rPr>
                              <m:t>+</m:t>
                            </m:r>
                            <m:sSub>
                              <m:sSubPr>
                                <m:ctrlPr>
                                  <w:rPr>
                                    <w:rFonts w:ascii="Cambria Math" w:eastAsia="Aptos" w:hAnsi="Cambria Math"/>
                                    <w:i/>
                                    <w:kern w:val="2"/>
                                    <w:szCs w:val="24"/>
                                    <w14:ligatures w14:val="standardContextual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eastAsia="Aptos" w:hAnsi="Cambria Math"/>
                                    <w:kern w:val="2"/>
                                    <w:szCs w:val="24"/>
                                    <w14:ligatures w14:val="standardContextual"/>
                                  </w:rPr>
                                  <m:t>VK</m:t>
                                </m:r>
                              </m:e>
                              <m:sub>
                                <m:r>
                                  <w:rPr>
                                    <w:rFonts w:ascii="Cambria Math" w:eastAsia="Aptos" w:hAnsi="Cambria Math"/>
                                    <w:kern w:val="2"/>
                                    <w:szCs w:val="24"/>
                                    <w14:ligatures w14:val="standardContextual"/>
                                  </w:rPr>
                                  <m:t>kv</m:t>
                                </m:r>
                                <m:r>
                                  <w:rPr>
                                    <w:rFonts w:ascii="Cambria Math" w:eastAsia="Aptos" w:hAnsi="Cambria Math"/>
                                    <w:kern w:val="2"/>
                                    <w:szCs w:val="24"/>
                                    <w14:ligatures w14:val="standardContextual"/>
                                  </w:rPr>
                                  <m:t>,</m:t>
                                </m:r>
                                <m:r>
                                  <w:rPr>
                                    <w:rFonts w:ascii="Cambria Math" w:eastAsia="Aptos" w:hAnsi="Cambria Math"/>
                                    <w:kern w:val="2"/>
                                    <w:szCs w:val="24"/>
                                    <w14:ligatures w14:val="standardContextual"/>
                                  </w:rPr>
                                  <m:t>t</m:t>
                                </m:r>
                              </m:sub>
                            </m:sSub>
                            <m:r>
                              <w:rPr>
                                <w:rFonts w:ascii="Cambria Math" w:hAnsi="Cambria Math"/>
                                <w:szCs w:val="24"/>
                              </w:rPr>
                              <m:t>+</m:t>
                            </m:r>
                            <m:r>
                              <w:rPr>
                                <w:rFonts w:ascii="Cambria Math" w:hAnsi="Cambria Math"/>
                                <w:szCs w:val="24"/>
                              </w:rPr>
                              <m:t>B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Cs w:val="24"/>
                              </w:rPr>
                              <m:t>kv</m:t>
                            </m:r>
                            <m:r>
                              <w:rPr>
                                <w:rFonts w:ascii="Cambria Math" w:hAnsi="Cambria Math"/>
                                <w:szCs w:val="24"/>
                              </w:rPr>
                              <m:t>,</m:t>
                            </m:r>
                            <m:r>
                              <w:rPr>
                                <w:rFonts w:ascii="Cambria Math" w:hAnsi="Cambria Math"/>
                                <w:szCs w:val="24"/>
                              </w:rPr>
                              <m:t>t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  <w:szCs w:val="24"/>
                          </w:rPr>
                          <m:t>+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Cs w:val="24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Cs w:val="24"/>
                              </w:rPr>
                              <m:t>DB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Cs w:val="24"/>
                              </w:rPr>
                              <m:t>t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  <w:szCs w:val="24"/>
                            <w:lang w:val="en-US"/>
                          </w:rPr>
                          <m:t xml:space="preserve">+ 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Cs w:val="24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Cs w:val="24"/>
                              </w:rPr>
                              <m:t>IP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Cs w:val="24"/>
                              </w:rPr>
                              <m:t>t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  <w:szCs w:val="24"/>
                            <w:lang w:val="en-US"/>
                          </w:rPr>
                          <m:t>+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Cs w:val="24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Cs w:val="24"/>
                              </w:rPr>
                              <m:t>SN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Cs w:val="24"/>
                                <w:lang w:val="en-US"/>
                              </w:rPr>
                              <m:t>k</m:t>
                            </m:r>
                            <m:r>
                              <w:rPr>
                                <w:rFonts w:ascii="Cambria Math" w:hAnsi="Cambria Math"/>
                                <w:szCs w:val="24"/>
                              </w:rPr>
                              <m:t>v</m:t>
                            </m:r>
                            <m:r>
                              <w:rPr>
                                <w:rFonts w:ascii="Cambria Math" w:hAnsi="Cambria Math"/>
                                <w:szCs w:val="24"/>
                              </w:rPr>
                              <m:t>,</m:t>
                            </m:r>
                            <m:r>
                              <w:rPr>
                                <w:rFonts w:ascii="Cambria Math" w:hAnsi="Cambria Math"/>
                                <w:szCs w:val="24"/>
                              </w:rPr>
                              <m:t>t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  <w:szCs w:val="24"/>
                            <w:lang w:val="en-US"/>
                          </w:rPr>
                          <m:t>+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Cs w:val="24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Cs w:val="24"/>
                              </w:rPr>
                              <m:t>SK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Cs w:val="24"/>
                                <w:lang w:val="en-US"/>
                              </w:rPr>
                              <m:t>k</m:t>
                            </m:r>
                            <m:r>
                              <w:rPr>
                                <w:rFonts w:ascii="Cambria Math" w:hAnsi="Cambria Math"/>
                                <w:szCs w:val="24"/>
                              </w:rPr>
                              <m:t>v</m:t>
                            </m:r>
                            <m:r>
                              <w:rPr>
                                <w:rFonts w:ascii="Cambria Math" w:hAnsi="Cambria Math"/>
                                <w:szCs w:val="24"/>
                              </w:rPr>
                              <m:t>,</m:t>
                            </m:r>
                            <m:r>
                              <w:rPr>
                                <w:rFonts w:ascii="Cambria Math" w:hAnsi="Cambria Math"/>
                                <w:szCs w:val="24"/>
                              </w:rPr>
                              <m:t>t</m:t>
                            </m:r>
                          </m:sub>
                        </m:sSub>
                      </m:oMath>
                      <w:r>
                        <w:rPr>
                          <w:szCs w:val="24"/>
                        </w:rPr>
                        <w:t>, Eur/kWh (7</w:t>
                      </w:r>
                      <w:r>
                        <w:rPr>
                          <w:szCs w:val="24"/>
                          <w:lang w:val="en-US"/>
                        </w:rPr>
                        <w:t>8</w:t>
                      </w:r>
                      <w:r>
                        <w:rPr>
                          <w:szCs w:val="24"/>
                        </w:rPr>
                        <w:t>)</w:t>
                      </w:r>
                    </w:p>
                    <w:p w14:paraId="5BA4589A" w14:textId="77777777" w:rsidR="00E1217B" w:rsidRDefault="00F906A4">
                      <w:pPr>
                        <w:spacing w:line="252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i/>
                          <w:szCs w:val="24"/>
                          <w:lang w:eastAsia="lt-LT"/>
                        </w:rPr>
                        <w:t>čia:</w:t>
                      </w:r>
                    </w:p>
                    <w:p w14:paraId="4AE8052E" w14:textId="77777777" w:rsidR="00E1217B" w:rsidRDefault="00F906A4">
                      <w:pPr>
                        <w:spacing w:line="252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proofErr w:type="spellStart"/>
                      <w:r>
                        <w:rPr>
                          <w:i/>
                          <w:szCs w:val="24"/>
                          <w:lang w:eastAsia="lt-LT"/>
                        </w:rPr>
                        <w:t>T</w:t>
                      </w:r>
                      <w:r>
                        <w:rPr>
                          <w:i/>
                          <w:szCs w:val="24"/>
                          <w:vertAlign w:val="subscript"/>
                          <w:lang w:eastAsia="lt-LT"/>
                        </w:rPr>
                        <w:t>kv,t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>  – prognozuojama elektros energijos įsi</w:t>
                      </w:r>
                      <w:r>
                        <w:rPr>
                          <w:szCs w:val="24"/>
                          <w:lang w:eastAsia="lt-LT"/>
                        </w:rPr>
                        <w:t>gijimo kaina </w:t>
                      </w:r>
                      <w:r>
                        <w:rPr>
                          <w:i/>
                          <w:szCs w:val="24"/>
                          <w:lang w:eastAsia="lt-LT"/>
                        </w:rPr>
                        <w:t>t </w:t>
                      </w:r>
                      <w:r>
                        <w:rPr>
                          <w:szCs w:val="24"/>
                          <w:lang w:eastAsia="lt-LT"/>
                        </w:rPr>
                        <w:t>metais kitiems vartotojams</w:t>
                      </w:r>
                      <w:r>
                        <w:rPr>
                          <w:szCs w:val="24"/>
                        </w:rPr>
                        <w:t xml:space="preserve">, </w:t>
                      </w:r>
                      <w:r>
                        <w:rPr>
                          <w:szCs w:val="24"/>
                          <w:lang w:eastAsia="lt-LT"/>
                        </w:rPr>
                        <w:t>EUR/kWh;</w:t>
                      </w:r>
                    </w:p>
                    <w:p w14:paraId="421B8B81" w14:textId="77777777" w:rsidR="00E1217B" w:rsidRDefault="00F906A4">
                      <w:pPr>
                        <w:spacing w:line="252" w:lineRule="auto"/>
                        <w:ind w:firstLine="709"/>
                        <w:jc w:val="both"/>
                        <w:rPr>
                          <w:szCs w:val="24"/>
                        </w:rPr>
                      </w:pPr>
                      <w:proofErr w:type="spellStart"/>
                      <w:r>
                        <w:rPr>
                          <w:i/>
                          <w:szCs w:val="24"/>
                          <w:lang w:eastAsia="lt-LT"/>
                        </w:rPr>
                        <w:t>TS</w:t>
                      </w:r>
                      <w:r>
                        <w:rPr>
                          <w:i/>
                          <w:szCs w:val="24"/>
                          <w:vertAlign w:val="subscript"/>
                          <w:lang w:eastAsia="lt-LT"/>
                        </w:rPr>
                        <w:t>kv,t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 – </w:t>
                      </w:r>
                      <w:r>
                        <w:rPr>
                          <w:szCs w:val="24"/>
                        </w:rPr>
                        <w:t xml:space="preserve">vidutinė svertinė prognozuojama elektros energijos kitiems vartotojams kaina, </w:t>
                      </w:r>
                      <w:r>
                        <w:rPr>
                          <w:szCs w:val="24"/>
                          <w:lang w:eastAsia="lt-LT"/>
                        </w:rPr>
                        <w:t>apskaičiuota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pagal </w:t>
                      </w:r>
                      <w:r>
                        <w:rPr>
                          <w:szCs w:val="24"/>
                        </w:rPr>
                        <w:t xml:space="preserve">Metodikos 114 punkto nuostatas sudarytas ir (ar) planuojamas sudaryti dvišales elektros energijos </w:t>
                      </w:r>
                      <w:r>
                        <w:rPr>
                          <w:szCs w:val="24"/>
                        </w:rPr>
                        <w:t>įsigijimo sutartis, galiosiančias visuomeninės kainos viršutinės ribos taikymo laikotarpiu, pagal kurias elektros energiją numatoma įsigyti kitiems vartotojams, ir pagal Metodikos 115 punktą visuomeninio tiekėjo prognozuojamą biržoje įsigyjamos elektros en</w:t>
                      </w:r>
                      <w:r>
                        <w:rPr>
                          <w:szCs w:val="24"/>
                        </w:rPr>
                        <w:t xml:space="preserve">ergijos kainą, EUR/kWh; </w:t>
                      </w:r>
                    </w:p>
                    <w:p w14:paraId="22375A58" w14:textId="015FEE7B" w:rsidR="00E1217B" w:rsidRDefault="00F906A4">
                      <w:pPr>
                        <w:ind w:firstLine="709"/>
                        <w:jc w:val="both"/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</w:pPr>
                      <w:proofErr w:type="spellStart"/>
                      <w:r>
                        <w:rPr>
                          <w:rFonts w:eastAsia="Aptos"/>
                          <w:i/>
                          <w:iCs/>
                          <w:kern w:val="2"/>
                          <w:szCs w:val="24"/>
                          <w14:ligatures w14:val="standardContextual"/>
                        </w:rPr>
                        <w:t>KPD</w:t>
                      </w:r>
                      <w:r>
                        <w:rPr>
                          <w:rFonts w:eastAsia="Aptos"/>
                          <w:i/>
                          <w:iCs/>
                          <w:kern w:val="2"/>
                          <w:szCs w:val="24"/>
                          <w:vertAlign w:val="subscript"/>
                          <w14:ligatures w14:val="standardContextual"/>
                        </w:rPr>
                        <w:t>kv,t</w:t>
                      </w:r>
                      <w:proofErr w:type="spellEnd"/>
                      <w:r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  <w:t xml:space="preserve"> – kainą mažinanti dedamoji kitiems vartotojams, jeigu visuomeninis tiekėjas pasiūlė ją taikyti, EUR/kWh;</w:t>
                      </w:r>
                    </w:p>
                    <w:p w14:paraId="4091A03C" w14:textId="0E8AA503" w:rsidR="00E1217B" w:rsidRDefault="00F906A4">
                      <w:pPr>
                        <w:ind w:firstLine="709"/>
                        <w:jc w:val="both"/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</w:pPr>
                      <w:proofErr w:type="spellStart"/>
                      <w:r>
                        <w:rPr>
                          <w:rFonts w:eastAsia="Aptos"/>
                          <w:i/>
                          <w:iCs/>
                          <w:kern w:val="2"/>
                          <w:szCs w:val="24"/>
                          <w14:ligatures w14:val="standardContextual"/>
                        </w:rPr>
                        <w:t>VK</w:t>
                      </w:r>
                      <w:r>
                        <w:rPr>
                          <w:rFonts w:eastAsia="Aptos"/>
                          <w:i/>
                          <w:iCs/>
                          <w:kern w:val="2"/>
                          <w:szCs w:val="24"/>
                          <w:vertAlign w:val="subscript"/>
                          <w14:ligatures w14:val="standardContextual"/>
                        </w:rPr>
                        <w:t>kv,t</w:t>
                      </w:r>
                      <w:proofErr w:type="spellEnd"/>
                      <w:r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  <w:t xml:space="preserve"> – Vyriausybės nutarimu nustatytas dydis, mažinantis kitiems vartotojams elektros energijos kainas </w:t>
                      </w:r>
                      <w:r>
                        <w:rPr>
                          <w:rFonts w:eastAsia="Aptos"/>
                          <w:i/>
                          <w:iCs/>
                          <w:kern w:val="2"/>
                          <w:szCs w:val="24"/>
                          <w14:ligatures w14:val="standardContextual"/>
                        </w:rPr>
                        <w:t xml:space="preserve">t </w:t>
                      </w:r>
                      <w:r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  <w:t xml:space="preserve">metais, </w:t>
                      </w:r>
                      <w:r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  <w:t>jeigu Vyriausybė nustatė tokį dydį, EUR/kWh (formulėje nurodomas kaip neigiamas dydis);</w:t>
                      </w:r>
                    </w:p>
                    <w:p w14:paraId="2ECC057D" w14:textId="77777777" w:rsidR="00E1217B" w:rsidRDefault="00F906A4">
                      <w:pPr>
                        <w:spacing w:line="252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proofErr w:type="spellStart"/>
                      <w:r>
                        <w:rPr>
                          <w:i/>
                          <w:szCs w:val="24"/>
                          <w:lang w:eastAsia="lt-LT"/>
                        </w:rPr>
                        <w:t>B</w:t>
                      </w:r>
                      <w:r>
                        <w:rPr>
                          <w:i/>
                          <w:szCs w:val="24"/>
                          <w:vertAlign w:val="subscript"/>
                          <w:lang w:eastAsia="lt-LT"/>
                        </w:rPr>
                        <w:t>kt,t</w:t>
                      </w:r>
                      <w:proofErr w:type="spellEnd"/>
                      <w:r>
                        <w:rPr>
                          <w:szCs w:val="24"/>
                          <w:vertAlign w:val="subscript"/>
                          <w:lang w:eastAsia="lt-LT"/>
                        </w:rPr>
                        <w:t xml:space="preserve"> 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– kitiems vartotojams elektros energijos biržos mokestis </w:t>
                      </w:r>
                      <w:r>
                        <w:rPr>
                          <w:i/>
                          <w:iCs/>
                          <w:szCs w:val="24"/>
                          <w:lang w:eastAsia="lt-LT"/>
                        </w:rPr>
                        <w:t>t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metais, tenkantis 1</w:t>
                      </w:r>
                      <w:r>
                        <w:rPr>
                          <w:szCs w:val="24"/>
                        </w:rPr>
                        <w:t> 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kilovatvalandei, EUR/kWh; </w:t>
                      </w:r>
                    </w:p>
                    <w:p w14:paraId="63FB4667" w14:textId="77777777" w:rsidR="00E1217B" w:rsidRDefault="00F906A4">
                      <w:pPr>
                        <w:spacing w:line="252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proofErr w:type="spellStart"/>
                      <w:r>
                        <w:rPr>
                          <w:i/>
                          <w:szCs w:val="24"/>
                          <w:lang w:eastAsia="lt-LT"/>
                        </w:rPr>
                        <w:t>DB</w:t>
                      </w:r>
                      <w:r>
                        <w:rPr>
                          <w:i/>
                          <w:szCs w:val="24"/>
                          <w:vertAlign w:val="subscript"/>
                          <w:lang w:eastAsia="lt-LT"/>
                        </w:rPr>
                        <w:t>t</w:t>
                      </w:r>
                      <w:proofErr w:type="spellEnd"/>
                      <w:r>
                        <w:rPr>
                          <w:szCs w:val="24"/>
                          <w:vertAlign w:val="subscript"/>
                          <w:lang w:eastAsia="lt-LT"/>
                        </w:rPr>
                        <w:t xml:space="preserve">  </w:t>
                      </w:r>
                      <w:r>
                        <w:rPr>
                          <w:szCs w:val="24"/>
                          <w:lang w:eastAsia="lt-LT"/>
                        </w:rPr>
                        <w:t>– visuomeninio tiekėjo prognozuojamos patirti disb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alanso elektros energijos rinkoje sąnaudos </w:t>
                      </w:r>
                      <w:r>
                        <w:rPr>
                          <w:i/>
                          <w:iCs/>
                          <w:szCs w:val="24"/>
                          <w:lang w:eastAsia="lt-LT"/>
                        </w:rPr>
                        <w:t>t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 metais, tenkančios 1 kilovatvalandei, EUR/kWh; </w:t>
                      </w:r>
                    </w:p>
                    <w:p w14:paraId="39C8CDE3" w14:textId="77777777" w:rsidR="00E1217B" w:rsidRDefault="00F906A4">
                      <w:pPr>
                        <w:spacing w:line="252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proofErr w:type="spellStart"/>
                      <w:r>
                        <w:rPr>
                          <w:i/>
                          <w:szCs w:val="24"/>
                          <w:lang w:eastAsia="lt-LT"/>
                        </w:rPr>
                        <w:t>IP</w:t>
                      </w:r>
                      <w:r>
                        <w:rPr>
                          <w:i/>
                          <w:szCs w:val="24"/>
                          <w:vertAlign w:val="subscript"/>
                          <w:lang w:eastAsia="lt-LT"/>
                        </w:rPr>
                        <w:t>t</w:t>
                      </w:r>
                      <w:proofErr w:type="spellEnd"/>
                      <w:r>
                        <w:rPr>
                          <w:szCs w:val="24"/>
                          <w:vertAlign w:val="subscript"/>
                          <w:lang w:eastAsia="lt-LT"/>
                        </w:rPr>
                        <w:t> 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– visuomeninio tiekėjo prognozuojamos patirti išvestinių finansinių priemonių sąnaudos </w:t>
                      </w:r>
                      <w:r>
                        <w:rPr>
                          <w:i/>
                          <w:iCs/>
                          <w:szCs w:val="24"/>
                          <w:lang w:eastAsia="lt-LT"/>
                        </w:rPr>
                        <w:t>t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 metais, tenkančios 1 kilovatvalandei, EUR/kWh; </w:t>
                      </w:r>
                    </w:p>
                    <w:p w14:paraId="678F4997" w14:textId="691E8472" w:rsidR="00E1217B" w:rsidRDefault="00F906A4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proofErr w:type="spellStart"/>
                      <w:r>
                        <w:rPr>
                          <w:i/>
                          <w:szCs w:val="24"/>
                          <w:lang w:eastAsia="lt-LT"/>
                        </w:rPr>
                        <w:t>SN</w:t>
                      </w:r>
                      <w:r>
                        <w:rPr>
                          <w:i/>
                          <w:szCs w:val="24"/>
                          <w:vertAlign w:val="subscript"/>
                          <w:lang w:eastAsia="lt-LT"/>
                        </w:rPr>
                        <w:t>kt,t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> </w:t>
                      </w:r>
                      <w:r>
                        <w:rPr>
                          <w:szCs w:val="24"/>
                        </w:rPr>
                        <w:t xml:space="preserve"> – praėjusiu la</w:t>
                      </w:r>
                      <w:r>
                        <w:rPr>
                          <w:szCs w:val="24"/>
                        </w:rPr>
                        <w:t xml:space="preserve">ikotarpiu faktinių kitiems vartotojams patiektos elektros energijos įsigijimo sąnaudų ir prognozuotų elektros energijos įsigijimo sąnaudų (įskaitant </w:t>
                      </w:r>
                      <w:r>
                        <w:rPr>
                          <w:rFonts w:eastAsia="Aptos"/>
                          <w:kern w:val="2"/>
                          <w:szCs w:val="24"/>
                          <w14:ligatures w14:val="standardContextual"/>
                        </w:rPr>
                        <w:t xml:space="preserve">kainą mažinančią dedamąją kitiems vartotojams) </w:t>
                      </w:r>
                      <w:r>
                        <w:rPr>
                          <w:szCs w:val="24"/>
                        </w:rPr>
                        <w:t>skirtumas (išskyrus pagal Metodikos 128 punktą kitiems varto</w:t>
                      </w:r>
                      <w:r>
                        <w:rPr>
                          <w:szCs w:val="24"/>
                        </w:rPr>
                        <w:t xml:space="preserve">tojams paskaičiuotą </w:t>
                      </w:r>
                      <w:r>
                        <w:rPr>
                          <w:szCs w:val="24"/>
                          <w:lang w:eastAsia="lt-LT"/>
                        </w:rPr>
                        <w:t>skirtumą)</w:t>
                      </w:r>
                      <w:r>
                        <w:rPr>
                          <w:szCs w:val="24"/>
                        </w:rPr>
                        <w:t xml:space="preserve"> arba jo dalis, jei Tarybos sprendimu susidariusį kitiems vartotojams elektros energijos įsigijimo sąnaudų skirtumą planuojama išdėstyti per ilgesnį laikotarpį, nei nustatoma visuomeninės kainos viršutinė riba, tenkantis kitiem</w:t>
                      </w:r>
                      <w:r>
                        <w:rPr>
                          <w:szCs w:val="24"/>
                        </w:rPr>
                        <w:t xml:space="preserve">s vartotojams prognozuojamo patiekti kiekio 1 kilovatvalandei, </w:t>
                      </w:r>
                      <w:r>
                        <w:rPr>
                          <w:szCs w:val="24"/>
                          <w:lang w:eastAsia="lt-LT"/>
                        </w:rPr>
                        <w:t>EUR/kWh</w:t>
                      </w:r>
                      <w:r>
                        <w:rPr>
                          <w:szCs w:val="24"/>
                        </w:rPr>
                        <w:t>.</w:t>
                      </w:r>
                    </w:p>
                    <w:p w14:paraId="70E90010" w14:textId="68DF354F" w:rsidR="00E1217B" w:rsidRDefault="00F906A4" w:rsidP="00F906A4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proofErr w:type="spellStart"/>
                      <w:r>
                        <w:rPr>
                          <w:i/>
                          <w:iCs/>
                          <w:szCs w:val="24"/>
                        </w:rPr>
                        <w:t>SK</w:t>
                      </w:r>
                      <w:r>
                        <w:rPr>
                          <w:i/>
                          <w:iCs/>
                          <w:szCs w:val="24"/>
                          <w:vertAlign w:val="subscript"/>
                        </w:rPr>
                        <w:t>kt,t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– pagal Metodikos 128 punktą apskaičiuotas </w:t>
                      </w:r>
                      <w:r>
                        <w:rPr>
                          <w:szCs w:val="24"/>
                          <w:lang w:eastAsia="lt-LT"/>
                        </w:rPr>
                        <w:t>skirtumas, susidaręs dėl visuomeninio tiekėjo kitų vartotojų visuomeninės elektros energijos kainos viršutinėje riboje taikytų ir fakt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inių elektros energijos skirstymo paslaugų VĮ ir ŽĮ tinkluose kainų, visuomeniniam tiekėjui veikiant kelių STO licencijuojamos veiklos teritorijose, </w:t>
                      </w:r>
                      <w:r>
                        <w:rPr>
                          <w:i/>
                          <w:szCs w:val="24"/>
                          <w:lang w:eastAsia="lt-LT"/>
                        </w:rPr>
                        <w:t>t</w:t>
                      </w:r>
                      <w:r>
                        <w:rPr>
                          <w:szCs w:val="24"/>
                          <w:lang w:eastAsia="lt-LT"/>
                        </w:rPr>
                        <w:t>-2</w:t>
                      </w:r>
                      <w:r>
                        <w:rPr>
                          <w:i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metais, EUR/kWh.“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50c136a3b69c4a3fb433f88ee38c76bd"/>
            <w:id w:val="-274028702"/>
            <w:lock w:val="sdtLocked"/>
          </w:sdtPr>
          <w:sdtEndPr/>
          <w:sdtContent>
            <w:p w14:paraId="14A0E5B8" w14:textId="77777777" w:rsidR="00F906A4" w:rsidRDefault="00F906A4">
              <w:pPr>
                <w:tabs>
                  <w:tab w:val="left" w:pos="993"/>
                  <w:tab w:val="left" w:pos="7938"/>
                </w:tabs>
                <w:jc w:val="both"/>
              </w:pPr>
            </w:p>
            <w:p w14:paraId="13B3AA90" w14:textId="77777777" w:rsidR="00F906A4" w:rsidRDefault="00F906A4">
              <w:pPr>
                <w:tabs>
                  <w:tab w:val="left" w:pos="993"/>
                  <w:tab w:val="left" w:pos="7938"/>
                </w:tabs>
                <w:jc w:val="both"/>
              </w:pPr>
            </w:p>
            <w:p w14:paraId="1BAE5EA6" w14:textId="77777777" w:rsidR="00F906A4" w:rsidRDefault="00F906A4">
              <w:pPr>
                <w:tabs>
                  <w:tab w:val="left" w:pos="993"/>
                  <w:tab w:val="left" w:pos="7938"/>
                </w:tabs>
                <w:jc w:val="both"/>
              </w:pPr>
            </w:p>
            <w:p w14:paraId="5A3476B0" w14:textId="3F7236D5" w:rsidR="00E1217B" w:rsidRDefault="00F906A4">
              <w:pPr>
                <w:tabs>
                  <w:tab w:val="left" w:pos="993"/>
                  <w:tab w:val="left" w:pos="7938"/>
                </w:tabs>
                <w:jc w:val="both"/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Pirmininkas</w:t>
              </w:r>
              <w:r>
                <w:rPr>
                  <w:szCs w:val="24"/>
                </w:rPr>
                <w:tab/>
                <w:t xml:space="preserve">    Renatas Pocius</w:t>
              </w:r>
            </w:p>
          </w:sdtContent>
        </w:sdt>
      </w:sdtContent>
    </w:sdt>
    <w:sectPr w:rsidR="00E1217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8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586951" w14:textId="77777777" w:rsidR="00E1217B" w:rsidRDefault="00F906A4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6C5FD1B7" w14:textId="77777777" w:rsidR="00E1217B" w:rsidRDefault="00F906A4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  <w:endnote w:type="continuationNotice" w:id="1">
    <w:p w14:paraId="3B388DFA" w14:textId="77777777" w:rsidR="00E1217B" w:rsidRDefault="00E1217B">
      <w:pPr>
        <w:rPr>
          <w:sz w:val="22"/>
          <w:szCs w:val="22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 Math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D38B1E" w14:textId="77777777" w:rsidR="00E1217B" w:rsidRDefault="00E1217B">
    <w:pPr>
      <w:tabs>
        <w:tab w:val="center" w:pos="4819"/>
        <w:tab w:val="right" w:pos="9638"/>
      </w:tabs>
      <w:spacing w:after="160" w:line="259" w:lineRule="auto"/>
      <w:rPr>
        <w:sz w:val="22"/>
        <w:szCs w:val="24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DB83BB" w14:textId="77777777" w:rsidR="00E1217B" w:rsidRDefault="00E1217B">
    <w:pPr>
      <w:tabs>
        <w:tab w:val="center" w:pos="4819"/>
        <w:tab w:val="right" w:pos="9638"/>
      </w:tabs>
      <w:spacing w:after="160" w:line="259" w:lineRule="auto"/>
      <w:rPr>
        <w:sz w:val="22"/>
        <w:szCs w:val="24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1557E6" w14:textId="77777777" w:rsidR="00E1217B" w:rsidRDefault="00E1217B">
    <w:pPr>
      <w:tabs>
        <w:tab w:val="center" w:pos="4819"/>
        <w:tab w:val="right" w:pos="9638"/>
      </w:tabs>
      <w:spacing w:after="160" w:line="259" w:lineRule="auto"/>
      <w:rPr>
        <w:sz w:val="22"/>
        <w:szCs w:val="24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E055EE" w14:textId="77777777" w:rsidR="00E1217B" w:rsidRDefault="00F906A4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5C146E11" w14:textId="77777777" w:rsidR="00E1217B" w:rsidRDefault="00F906A4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type="continuationNotice" w:id="1">
    <w:p w14:paraId="2D03EBE0" w14:textId="77777777" w:rsidR="00E1217B" w:rsidRDefault="00E1217B">
      <w:pPr>
        <w:rPr>
          <w:sz w:val="22"/>
          <w:szCs w:val="22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825C78" w14:textId="721270C1" w:rsidR="00E1217B" w:rsidRDefault="00F906A4">
    <w:pPr>
      <w:framePr w:wrap="auto" w:vAnchor="text" w:hAnchor="margin" w:xAlign="center" w:y="1"/>
      <w:tabs>
        <w:tab w:val="center" w:pos="4819"/>
        <w:tab w:val="right" w:pos="9638"/>
      </w:tabs>
      <w:spacing w:after="160" w:line="259" w:lineRule="auto"/>
      <w:rPr>
        <w:sz w:val="22"/>
        <w:szCs w:val="24"/>
        <w:lang w:val="en-GB"/>
      </w:rPr>
    </w:pPr>
    <w:r>
      <w:rPr>
        <w:sz w:val="22"/>
        <w:szCs w:val="24"/>
        <w:lang w:val="en-GB"/>
      </w:rPr>
      <w:fldChar w:fldCharType="begin"/>
    </w:r>
    <w:r>
      <w:rPr>
        <w:sz w:val="22"/>
        <w:szCs w:val="24"/>
        <w:lang w:val="en-GB"/>
      </w:rPr>
      <w:instrText xml:space="preserve">PAGE  </w:instrText>
    </w:r>
    <w:r>
      <w:rPr>
        <w:sz w:val="22"/>
        <w:szCs w:val="24"/>
        <w:lang w:val="en-GB"/>
      </w:rPr>
      <w:fldChar w:fldCharType="separate"/>
    </w:r>
    <w:r>
      <w:rPr>
        <w:sz w:val="22"/>
        <w:szCs w:val="24"/>
        <w:lang w:val="en-GB"/>
      </w:rPr>
      <w:t>23</w:t>
    </w:r>
    <w:r>
      <w:rPr>
        <w:sz w:val="22"/>
        <w:szCs w:val="24"/>
        <w:lang w:val="en-GB"/>
      </w:rPr>
      <w:fldChar w:fldCharType="end"/>
    </w:r>
  </w:p>
  <w:p w14:paraId="032262EE" w14:textId="77777777" w:rsidR="00E1217B" w:rsidRDefault="00E1217B">
    <w:pPr>
      <w:tabs>
        <w:tab w:val="center" w:pos="4819"/>
        <w:tab w:val="right" w:pos="9638"/>
      </w:tabs>
      <w:spacing w:after="160" w:line="259" w:lineRule="auto"/>
      <w:rPr>
        <w:sz w:val="22"/>
        <w:szCs w:val="24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76DED3" w14:textId="04A46F59" w:rsidR="00E1217B" w:rsidRDefault="00F906A4">
    <w:pPr>
      <w:tabs>
        <w:tab w:val="center" w:pos="4680"/>
        <w:tab w:val="right" w:pos="9360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3</w:t>
    </w:r>
    <w:r>
      <w:fldChar w:fldCharType="end"/>
    </w:r>
  </w:p>
  <w:p w14:paraId="6C12DA77" w14:textId="77777777" w:rsidR="00E1217B" w:rsidRDefault="00E1217B">
    <w:pPr>
      <w:tabs>
        <w:tab w:val="center" w:pos="4680"/>
        <w:tab w:val="right" w:pos="9360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1D7367" w14:textId="77777777" w:rsidR="00E1217B" w:rsidRDefault="00E1217B">
    <w:pPr>
      <w:tabs>
        <w:tab w:val="center" w:pos="4680"/>
        <w:tab w:val="right" w:pos="9360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UxNzIwNrQ0NzS1sDBX0lEKTi0uzszPAykwsagFAHU8dNAtAAAA"/>
  </w:docVars>
  <w:rsids>
    <w:rsidRoot w:val="009257C8"/>
    <w:rsid w:val="009257C8"/>
    <w:rsid w:val="00E1217B"/>
    <w:rsid w:val="00F90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7641AF"/>
  <w15:docId w15:val="{383196C2-12CF-4D4B-A984-0F54E1EDF5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02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78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517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601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9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235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0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86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741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20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903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287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1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2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92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668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81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511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867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04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441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826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0132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828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762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5416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470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642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02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20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155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820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722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604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03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2568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408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2586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1145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737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5846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770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7936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06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701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9605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1311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7168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5085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639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0371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084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602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767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34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1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143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430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823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202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5501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991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38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977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354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298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05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19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02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4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936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EF3C644E85E2C74E989A94B47AA156BE" ma:contentTypeVersion="12" ma:contentTypeDescription="Kurkite naują dokumentą." ma:contentTypeScope="" ma:versionID="48639a79647a3f8378d5424c7de9a614">
  <xsd:schema xmlns:xsd="http://www.w3.org/2001/XMLSchema" xmlns:xs="http://www.w3.org/2001/XMLSchema" xmlns:p="http://schemas.microsoft.com/office/2006/metadata/properties" xmlns:ns3="b4e5c526-2a0f-47d3-8da2-7a4c66b168aa" xmlns:ns4="0cd3c6b2-0c94-4514-a258-436dcc95bfc8" targetNamespace="http://schemas.microsoft.com/office/2006/metadata/properties" ma:root="true" ma:fieldsID="6fd3c0bf40ee08e6d18d6390be499b70" ns3:_="" ns4:_="">
    <xsd:import namespace="b4e5c526-2a0f-47d3-8da2-7a4c66b168aa"/>
    <xsd:import namespace="0cd3c6b2-0c94-4514-a258-436dcc95bfc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e5c526-2a0f-47d3-8da2-7a4c66b168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d3c6b2-0c94-4514-a258-436dcc95bfc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22a6343e63ff4707a05d5d8e35d61399" PartId="681b38cad7a74bdda3064a84956a8ef6">
    <Part Type="preambule" DocPartId="a49de07dc38a4e28b6c4a8726a90f07b" PartId="90748530bf454c19aeee6a50a7ed9ce8"/>
    <Part Type="pastraipa" DocPartId="01c73b99d1964209a801c63aade5bb95" PartId="2a905641498045c58a249f8ef960e8d8"/>
    <Part Type="punktas" Nr="1" Abbr="1 p." DocPartId="25ec481964f24e0190d129b70162c6eb" PartId="79cf44d5ff98458c9969df602b54ead0">
      <Part Type="citata" DocPartId="881bdc843bf74a358a8dd10d93e021a5" PartId="9db1aa6357ae4acda74b8ebfddde19e8">
        <Part Type="punktas" Nr="3" Abbr="3 p." DocPartId="1d403b06700f4cdbb8a62d4cf8a9b9c6" PartId="188b145e078740a1a354d398669c46e5">
          <Part Type="papunktis" Nr="3.1" Abbr="3.1 pp." DocPartId="f9b912a301c44ab5a2548a6bfe20ae19" PartId="96bbb4ea0bd0432294239a6837a3bdb1"/>
          <Part Type="papunktis" Nr="3.2" Abbr="3.2 pp." DocPartId="d9c81d3708d94effb6acdcf74a665412" PartId="7d2c46ab92c1420eaec4f997b3d59bea"/>
        </Part>
      </Part>
    </Part>
    <Part Type="punktas" Nr="2" Abbr="2 p." DocPartId="5f8ebdb90a274a20b5b8bf4eb9a20c6f" PartId="7b6a8d705a304dc98a0e3c00a4817275">
      <Part Type="citata" DocPartId="29324eda27654fba9502ad4acbfbdc1f" PartId="73830625458346a5953134022b1cfdfc">
        <Part Type="punktas" Nr="113" Abbr="113 p." DocPartId="edd183fa16c948cdb894e779432dcbfd" PartId="fc2c7d5de7874db58153f25e7ac1146b"/>
      </Part>
    </Part>
    <Part Type="punktas" Nr="3" Abbr="3 p." DocPartId="09e4947c511145f98099fa348398459e" PartId="699c4795d9e44e02979c0cd39eb1770c">
      <Part Type="citata" DocPartId="da2f1f39a77643348576399f92179983" PartId="d034557851134a8c936c96584bc4f837">
        <Part Type="papunktis" Nr="113.6" Abbr="113.6 pp." DocPartId="d68e832e03884688869235101be79e5d" PartId="f3fb1f2b042b40fa9349bddb02cbb911"/>
      </Part>
    </Part>
    <Part Type="punktas" Nr="4" Abbr="4 p." DocPartId="2ebdc52e63474f44b4da1c9b1a44df03" PartId="eea4caf762ac4322915ab82afe4262e2">
      <Part Type="citata" DocPartId="0abfeaf1375740c8b71195111ba2dd2b" PartId="2dd6c10213814405b47ddecdcb96e6f2">
        <Part Type="papunktis" Nr="113.7" Abbr="113.7 pp." DocPartId="2053ab7585034d3ab41fef7a587a8c15" PartId="b424f49b83e2473ca3061ac7881981ff"/>
      </Part>
    </Part>
    <Part Type="punktas" Nr="5" Abbr="5 p." DocPartId="2d27a3aa826f456a9b301f7296f72769" PartId="e4befbc4b6a94467b29d3f7693ad98b6">
      <Part Type="citata" DocPartId="76c1ed34d70b48669d44b1818dce08d1" PartId="d9b07943471c4437993dea1de3e5422e">
        <Part Type="punktas" Nr="123" Abbr="123 p." DocPartId="4b8c1f2001824ce6a87b0df919d93df0" PartId="972a77c1836b41348c6ea1e7d82a4039"/>
      </Part>
    </Part>
    <Part Type="punktas" Nr="6" Abbr="6 p." DocPartId="477dec25fe3f490ca91bfa873e1ea176" PartId="0a01f6489b6f433f9757970d131f88a1">
      <Part Type="citata" DocPartId="4998166bceba4029a3fa559d29b69ac4" PartId="9a695162068a41e1b87d5d0a1aba24f0">
        <Part Type="punktas" Nr="124" Abbr="124 p." DocPartId="1a14429701cd4264a11b98b35927f0e9" PartId="6d55b1b45e274b0c9442fc7834d8fa06"/>
      </Part>
    </Part>
    <Part Type="signatura" DocPartId="2f4a443efd05440ca15000bfbfcd1bea" PartId="50c136a3b69c4a3fb433f88ee38c76bd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2D714E-37A4-4D20-A3DA-17221DD343D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427B05F-ED34-4DB6-B4CD-813555E9C7B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8F7E48F-0479-4863-AD14-1759CAB0E5A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4e5c526-2a0f-47d3-8da2-7a4c66b168aa"/>
    <ds:schemaRef ds:uri="0cd3c6b2-0c94-4514-a258-436dcc95bfc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08B5F4D-D341-41FA-9B59-C7B831A7A48C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8EE46A1B-A12A-41B1-B0CE-B375FAE5C2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5250</Words>
  <Characters>2993</Characters>
  <Application>Microsoft Office Word</Application>
  <DocSecurity>0</DocSecurity>
  <Lines>24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8227</CharactersWithSpaces>
  <SharedDoc>false</SharedDoc>
  <HyperlinkBase/>
  <HLinks>
    <vt:vector size="12" baseType="variant">
      <vt:variant>
        <vt:i4>1245297</vt:i4>
      </vt:variant>
      <vt:variant>
        <vt:i4>3</vt:i4>
      </vt:variant>
      <vt:variant>
        <vt:i4>0</vt:i4>
      </vt:variant>
      <vt:variant>
        <vt:i4>5</vt:i4>
      </vt:variant>
      <vt:variant>
        <vt:lpwstr>mailto:asta.zaibute@vert.lt</vt:lpwstr>
      </vt:variant>
      <vt:variant>
        <vt:lpwstr/>
      </vt:variant>
      <vt:variant>
        <vt:i4>8257563</vt:i4>
      </vt:variant>
      <vt:variant>
        <vt:i4>0</vt:i4>
      </vt:variant>
      <vt:variant>
        <vt:i4>0</vt:i4>
      </vt:variant>
      <vt:variant>
        <vt:i4>5</vt:i4>
      </vt:variant>
      <vt:variant>
        <vt:lpwstr>mailto:ugne.ilioitiene@vert.lt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Justas Žėba</dc:creator>
  <cp:lastModifiedBy>TAMALIŪNIENĖ Vilija</cp:lastModifiedBy>
  <cp:revision>3</cp:revision>
  <dcterms:created xsi:type="dcterms:W3CDTF">2025-11-18T13:08:00Z</dcterms:created>
  <dcterms:modified xsi:type="dcterms:W3CDTF">2025-11-18T13:24:00Z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0x010100EF3C644E85E2C74E989A94B47AA156BE</vt:lpwstr>
  </property>
</Properties>
</file>