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11B2" w14:textId="77777777" w:rsidR="001E5A4E" w:rsidRDefault="001E5A4E">
      <w:pPr>
        <w:jc w:val="center"/>
        <w:rPr>
          <w:lang w:eastAsia="lt-LT"/>
        </w:rPr>
      </w:pPr>
    </w:p>
    <w:p w14:paraId="4D1E11B3" w14:textId="77777777" w:rsidR="001E5A4E" w:rsidRDefault="001E5A4E">
      <w:pPr>
        <w:jc w:val="center"/>
        <w:rPr>
          <w:lang w:eastAsia="lt-LT"/>
        </w:rPr>
      </w:pPr>
    </w:p>
    <w:p w14:paraId="4D1E11B4" w14:textId="77777777" w:rsidR="001E5A4E" w:rsidRDefault="00A3764B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4D1E11DF" wp14:editId="4D1E11E0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11B6" w14:textId="77777777" w:rsidR="001E5A4E" w:rsidRDefault="00A3764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D1E11B7" w14:textId="77777777" w:rsidR="001E5A4E" w:rsidRDefault="001E5A4E">
      <w:pPr>
        <w:jc w:val="center"/>
        <w:rPr>
          <w:caps/>
          <w:lang w:eastAsia="lt-LT"/>
        </w:rPr>
      </w:pPr>
    </w:p>
    <w:p w14:paraId="4D1E11B8" w14:textId="77777777" w:rsidR="001E5A4E" w:rsidRDefault="00A3764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D1E11B9" w14:textId="77777777" w:rsidR="001E5A4E" w:rsidRDefault="00A3764B">
      <w:pPr>
        <w:tabs>
          <w:tab w:val="left" w:pos="680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2000 M. LAPKRIČIO 6 D. NUTARIMO NR. 1346 „DĖL LIETUVOS RESPUBLIKOS GYVENTOJŲ REGISTRO NUOSTATŲ </w:t>
      </w:r>
      <w:r>
        <w:rPr>
          <w:b/>
          <w:szCs w:val="24"/>
          <w:lang w:eastAsia="lt-LT"/>
        </w:rPr>
        <w:t>PATVIRTINIMO“ PAKEITIMO</w:t>
      </w:r>
    </w:p>
    <w:p w14:paraId="4D1E11BA" w14:textId="77777777" w:rsidR="001E5A4E" w:rsidRDefault="001E5A4E">
      <w:pPr>
        <w:tabs>
          <w:tab w:val="left" w:pos="6804"/>
        </w:tabs>
        <w:rPr>
          <w:lang w:eastAsia="lt-LT"/>
        </w:rPr>
      </w:pPr>
    </w:p>
    <w:p w14:paraId="1CA5EFF6" w14:textId="06D1DF04" w:rsidR="00A3764B" w:rsidRDefault="00A3764B">
      <w:pPr>
        <w:tabs>
          <w:tab w:val="left" w:pos="6804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2014 m. liepos 2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624</w:t>
      </w:r>
    </w:p>
    <w:p w14:paraId="4D1E11BB" w14:textId="24F35EAD" w:rsidR="001E5A4E" w:rsidRDefault="00A3764B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Vilnius</w:t>
      </w:r>
    </w:p>
    <w:p w14:paraId="4D1E11BC" w14:textId="77777777" w:rsidR="001E5A4E" w:rsidRDefault="001E5A4E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3C6550D4" w14:textId="77777777" w:rsidR="00A3764B" w:rsidRDefault="00A3764B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4D1E11BD" w14:textId="77777777" w:rsidR="001E5A4E" w:rsidRDefault="00A3764B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4D1E11BE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Pakeisti Lietuvos Respublikos gyventojų registro nuostatus, patvirtintus Lietuvos Respublikos Vyriausybės 2000 m. lapkričio 6 d. nutarimu Nr. 1346 „D</w:t>
      </w:r>
      <w:r>
        <w:rPr>
          <w:lang w:eastAsia="lt-LT"/>
        </w:rPr>
        <w:t xml:space="preserve">ėl Lietuvos Respublikos gyventojų registro nuostatų patvirtinimo“: </w:t>
      </w:r>
    </w:p>
    <w:p w14:paraId="4D1E11BF" w14:textId="77777777" w:rsidR="001E5A4E" w:rsidRDefault="00A3764B">
      <w:pPr>
        <w:spacing w:line="360" w:lineRule="atLeast"/>
        <w:ind w:firstLine="720"/>
        <w:jc w:val="both"/>
      </w:pPr>
      <w:r>
        <w:rPr>
          <w:lang w:eastAsia="lt-LT"/>
        </w:rPr>
        <w:t>1.1</w:t>
      </w:r>
      <w:r>
        <w:rPr>
          <w:lang w:eastAsia="lt-LT"/>
        </w:rPr>
        <w:t>. Pakeisti 7 punktą ir jį išdėstyti taip:</w:t>
      </w:r>
    </w:p>
    <w:p w14:paraId="4D1E11C0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7</w:t>
      </w:r>
      <w:r>
        <w:rPr>
          <w:lang w:eastAsia="lt-LT"/>
        </w:rPr>
        <w:t>. Registro valdytojas yra Gyventojų</w:t>
      </w:r>
      <w:r>
        <w:rPr>
          <w:b/>
          <w:lang w:eastAsia="lt-LT"/>
        </w:rPr>
        <w:t xml:space="preserve"> </w:t>
      </w:r>
      <w:r>
        <w:rPr>
          <w:lang w:eastAsia="lt-LT"/>
        </w:rPr>
        <w:t>registro tarnyba. Registro valdytojas yra asmens duomenų valdytojas ir asmens duomenų tvarkytojas.“</w:t>
      </w:r>
    </w:p>
    <w:p w14:paraId="4D1E11C1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>. Papildyti 7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punktu:</w:t>
      </w:r>
    </w:p>
    <w:p w14:paraId="4D1E11C2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7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 Registro tvarkytojai, kurie yra ir asmens duomenų tvarkytojai:</w:t>
      </w:r>
    </w:p>
    <w:p w14:paraId="4D1E11C3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7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.1</w:t>
      </w:r>
      <w:r>
        <w:rPr>
          <w:lang w:eastAsia="lt-LT"/>
        </w:rPr>
        <w:t>. Gyventojų registro tarnyba;</w:t>
      </w:r>
    </w:p>
    <w:p w14:paraId="4D1E11C4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7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.2</w:t>
      </w:r>
      <w:r>
        <w:rPr>
          <w:lang w:eastAsia="lt-LT"/>
        </w:rPr>
        <w:t>. valstybės įmonė Registrų centras (toliau – Registrų centras).“</w:t>
      </w:r>
    </w:p>
    <w:p w14:paraId="4D1E11C5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1.3</w:t>
      </w:r>
      <w:r>
        <w:rPr>
          <w:lang w:eastAsia="lt-LT"/>
        </w:rPr>
        <w:t>. Pripažinti netekusiu galios 1</w:t>
      </w:r>
      <w:r>
        <w:rPr>
          <w:lang w:eastAsia="lt-LT"/>
        </w:rPr>
        <w:t>1.2 papunktį.</w:t>
      </w:r>
    </w:p>
    <w:p w14:paraId="4D1E11C6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1.4</w:t>
      </w:r>
      <w:r>
        <w:rPr>
          <w:lang w:eastAsia="lt-LT"/>
        </w:rPr>
        <w:t>. Papildyti 12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punktu:</w:t>
      </w:r>
    </w:p>
    <w:p w14:paraId="4D1E11C7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 Registrų centras:</w:t>
      </w:r>
    </w:p>
    <w:p w14:paraId="4D1E11C8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.1</w:t>
      </w:r>
      <w:r>
        <w:rPr>
          <w:lang w:eastAsia="lt-LT"/>
        </w:rPr>
        <w:t xml:space="preserve">. </w:t>
      </w:r>
      <w:r>
        <w:rPr>
          <w:bCs/>
          <w:lang w:eastAsia="lt-LT"/>
        </w:rPr>
        <w:t>rengia ir įgyvendina registro techninių ir programinių priemonių kūrimo, plėtros ir tobulinimo planus, investicinius projektus</w:t>
      </w:r>
      <w:r>
        <w:rPr>
          <w:lang w:eastAsia="lt-LT"/>
        </w:rPr>
        <w:t>;</w:t>
      </w:r>
    </w:p>
    <w:p w14:paraId="4D1E11C9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.2</w:t>
      </w:r>
      <w:r>
        <w:rPr>
          <w:lang w:eastAsia="lt-LT"/>
        </w:rPr>
        <w:t>. teikia registro valdytojui pasiūlymus</w:t>
      </w:r>
      <w:r>
        <w:rPr>
          <w:lang w:eastAsia="lt-LT"/>
        </w:rPr>
        <w:t xml:space="preserve"> dėl registro funkcionavimo, tobulinimo ir plėtros;</w:t>
      </w:r>
    </w:p>
    <w:p w14:paraId="4D1E11CA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.3</w:t>
      </w:r>
      <w:r>
        <w:rPr>
          <w:lang w:eastAsia="lt-LT"/>
        </w:rPr>
        <w:t>. užtikrina sąveiką su susijusiais registrais ir valstybės informacinėmis sistemomis;</w:t>
      </w:r>
    </w:p>
    <w:p w14:paraId="4D1E11CB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.4</w:t>
      </w:r>
      <w:r>
        <w:rPr>
          <w:lang w:eastAsia="lt-LT"/>
        </w:rPr>
        <w:t>. administruoja registro duomenis tvarkančių asmenų duomenis, suteikia jiems prieigos teises ir duom</w:t>
      </w:r>
      <w:r>
        <w:rPr>
          <w:lang w:eastAsia="lt-LT"/>
        </w:rPr>
        <w:t>enų tvarkymo slaptažodžius;</w:t>
      </w:r>
    </w:p>
    <w:p w14:paraId="4D1E11CC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.5</w:t>
      </w:r>
      <w:r>
        <w:rPr>
          <w:lang w:eastAsia="lt-LT"/>
        </w:rPr>
        <w:t>. organizuoja ir atlieka registro diegimo ir priežiūros darbus, užtikrina tinkamą registro funkcionavimą.“</w:t>
      </w:r>
    </w:p>
    <w:p w14:paraId="4D1E11CD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1.5</w:t>
      </w:r>
      <w:r>
        <w:rPr>
          <w:lang w:eastAsia="lt-LT"/>
        </w:rPr>
        <w:t>. Pakeisti 47 punktą ir jį išdėstyti taip:</w:t>
      </w:r>
    </w:p>
    <w:p w14:paraId="4D1E11CE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47</w:t>
      </w:r>
      <w:r>
        <w:rPr>
          <w:lang w:eastAsia="lt-LT"/>
        </w:rPr>
        <w:t xml:space="preserve">. Už registro duomenų saugą Lietuvos Respublikos </w:t>
      </w:r>
      <w:r>
        <w:rPr>
          <w:lang w:eastAsia="lt-LT"/>
        </w:rPr>
        <w:t>įstatymų nustatyta tvarka pagal kompetenciją atsako Gyventojų registro tarnyba ir Registrų centras.“</w:t>
      </w:r>
    </w:p>
    <w:p w14:paraId="4D1E11CF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1.6</w:t>
      </w:r>
      <w:r>
        <w:rPr>
          <w:lang w:eastAsia="lt-LT"/>
        </w:rPr>
        <w:t>. Pakeisti 49 punktą ir jį išdėstyti taip:</w:t>
      </w:r>
    </w:p>
    <w:p w14:paraId="4D1E11D0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49</w:t>
      </w:r>
      <w:r>
        <w:rPr>
          <w:lang w:eastAsia="lt-LT"/>
        </w:rPr>
        <w:t>. Gyventojų registro tarnyba ir Registrų centras pagal kompetenciją privalo įgyvendinti tinkamas</w:t>
      </w:r>
      <w:r>
        <w:rPr>
          <w:lang w:eastAsia="lt-LT"/>
        </w:rPr>
        <w:t xml:space="preserve"> technines, organizacines ir kitas priemones, kurios užtikrintų duomenų apsaugą nuo atsitiktinio ar neteisėto sunaikinimo, pakeitimo, sugadinimo, atskleidimo, neteisėto pasisavinimo, paskelbimo, pateikimo ar kitokio panaudojimo, taip pat kokio nors kito ne</w:t>
      </w:r>
      <w:r>
        <w:rPr>
          <w:lang w:eastAsia="lt-LT"/>
        </w:rPr>
        <w:t>teisėto tvarkymo.“</w:t>
      </w:r>
    </w:p>
    <w:p w14:paraId="4D1E11D1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1.7</w:t>
      </w:r>
      <w:r>
        <w:rPr>
          <w:lang w:eastAsia="lt-LT"/>
        </w:rPr>
        <w:t>. Pakeisti 52 punktą ir jį išdėstyti taip:</w:t>
      </w:r>
    </w:p>
    <w:p w14:paraId="4D1E11D2" w14:textId="77777777" w:rsidR="001E5A4E" w:rsidRDefault="00A3764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52</w:t>
      </w:r>
      <w:r>
        <w:rPr>
          <w:lang w:eastAsia="lt-LT"/>
        </w:rPr>
        <w:t>. Registro tvarkymas finansuojamas iš Lietuvos Respublikos valstybės biudžeto lėšų, taip pat lėšų, gautų už duomenų teikimą, ir iš kitų teisės aktuose nustatytų finansavimo šalti</w:t>
      </w:r>
      <w:r>
        <w:rPr>
          <w:lang w:eastAsia="lt-LT"/>
        </w:rPr>
        <w:t>nių.“</w:t>
      </w:r>
    </w:p>
    <w:p w14:paraId="4D1E11D6" w14:textId="15DAAD95" w:rsidR="001E5A4E" w:rsidRDefault="00A3764B" w:rsidP="00A3764B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</w:t>
      </w:r>
      <w:r>
        <w:rPr>
          <w:b/>
          <w:lang w:eastAsia="lt-LT"/>
        </w:rPr>
        <w:t xml:space="preserve"> </w:t>
      </w:r>
      <w:r>
        <w:rPr>
          <w:lang w:eastAsia="lt-LT"/>
        </w:rPr>
        <w:t>Šis nutarimas įsigalioja 2014 m. spalio 1 dieną.</w:t>
      </w:r>
    </w:p>
    <w:p w14:paraId="467D6A6E" w14:textId="77777777" w:rsidR="00A3764B" w:rsidRDefault="00A3764B">
      <w:pPr>
        <w:tabs>
          <w:tab w:val="center" w:pos="-7800"/>
          <w:tab w:val="left" w:pos="6237"/>
          <w:tab w:val="right" w:pos="8306"/>
        </w:tabs>
      </w:pPr>
    </w:p>
    <w:p w14:paraId="5800048E" w14:textId="77777777" w:rsidR="00A3764B" w:rsidRDefault="00A3764B">
      <w:pPr>
        <w:tabs>
          <w:tab w:val="center" w:pos="-7800"/>
          <w:tab w:val="left" w:pos="6237"/>
          <w:tab w:val="right" w:pos="8306"/>
        </w:tabs>
      </w:pPr>
    </w:p>
    <w:p w14:paraId="13BB9248" w14:textId="77777777" w:rsidR="00A3764B" w:rsidRDefault="00A3764B">
      <w:pPr>
        <w:tabs>
          <w:tab w:val="center" w:pos="-7800"/>
          <w:tab w:val="left" w:pos="6237"/>
          <w:tab w:val="right" w:pos="8306"/>
        </w:tabs>
      </w:pPr>
    </w:p>
    <w:p w14:paraId="4D1E11D7" w14:textId="5468EAAE" w:rsidR="001E5A4E" w:rsidRDefault="00A3764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4D1E11D8" w14:textId="77777777" w:rsidR="001E5A4E" w:rsidRDefault="001E5A4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1E11D9" w14:textId="77777777" w:rsidR="001E5A4E" w:rsidRDefault="001E5A4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1E11DA" w14:textId="77777777" w:rsidR="001E5A4E" w:rsidRDefault="001E5A4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1E11DB" w14:textId="77777777" w:rsidR="001E5A4E" w:rsidRDefault="00A3764B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ministras</w:t>
      </w:r>
      <w:r>
        <w:rPr>
          <w:lang w:eastAsia="lt-LT"/>
        </w:rPr>
        <w:tab/>
        <w:t>Dailis Alfonsas Barakauskas</w:t>
      </w:r>
    </w:p>
    <w:p w14:paraId="4D1E11DE" w14:textId="77777777" w:rsidR="001E5A4E" w:rsidRDefault="00A3764B">
      <w:pPr>
        <w:tabs>
          <w:tab w:val="left" w:pos="6237"/>
          <w:tab w:val="right" w:pos="8306"/>
        </w:tabs>
        <w:rPr>
          <w:lang w:eastAsia="lt-LT"/>
        </w:rPr>
      </w:pPr>
    </w:p>
    <w:bookmarkStart w:id="0" w:name="_GoBack" w:displacedByCustomXml="next"/>
    <w:bookmarkEnd w:id="0" w:displacedByCustomXml="next"/>
    <w:sectPr w:rsidR="001E5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11E3" w14:textId="77777777" w:rsidR="001E5A4E" w:rsidRDefault="00A3764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D1E11E4" w14:textId="77777777" w:rsidR="001E5A4E" w:rsidRDefault="00A3764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11E9" w14:textId="77777777" w:rsidR="001E5A4E" w:rsidRDefault="001E5A4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11EA" w14:textId="77777777" w:rsidR="001E5A4E" w:rsidRDefault="001E5A4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11EC" w14:textId="77777777" w:rsidR="001E5A4E" w:rsidRDefault="001E5A4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4D1E11E2" w14:textId="77777777" w:rsidR="001E5A4E" w:rsidRDefault="00A3764B">
      <w:pPr>
        <w:rPr>
          <w:lang w:eastAsia="lt-LT"/>
        </w:rPr>
      </w:pPr>
      <w:r>
        <w:rPr>
          <w:lang w:eastAsia="lt-LT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4D1E11E1" w14:textId="77777777" w:rsidR="001E5A4E" w:rsidRDefault="00A3764B">
      <w:pPr>
        <w:rPr>
          <w:lang w:eastAsia="lt-LT"/>
        </w:rPr>
      </w:pPr>
      <w:r>
        <w:rPr>
          <w:lang w:eastAsia="lt-LT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11E5" w14:textId="77777777" w:rsidR="001E5A4E" w:rsidRDefault="00A3764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D1E11E6" w14:textId="77777777" w:rsidR="001E5A4E" w:rsidRDefault="001E5A4E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11E7" w14:textId="77777777" w:rsidR="001E5A4E" w:rsidRDefault="00A3764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4D1E11E8" w14:textId="77777777" w:rsidR="001E5A4E" w:rsidRDefault="001E5A4E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11EB" w14:textId="77777777" w:rsidR="001E5A4E" w:rsidRDefault="001E5A4E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E5A4E"/>
    <w:rsid w:val="004C66E7"/>
    <w:rsid w:val="00A3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D1E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376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3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376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3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LRVK</Company>
  <LinksUpToDate>false</LinksUpToDate>
  <CharactersWithSpaces>2657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2014-07-04T10:56:00Z</dcterms:created>
  <dc:creator>lrvk</dc:creator>
  <lastModifiedBy>PETRAUSKAITĖ Girmantė</lastModifiedBy>
  <lastPrinted>2014-07-02T12:54:00Z</lastPrinted>
  <dcterms:modified xsi:type="dcterms:W3CDTF">2014-07-04T11:34:00Z</dcterms:modified>
  <revision>3</revision>
</coreProperties>
</file>