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DD" w:rsidRDefault="00FF33D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FF33DD" w:rsidRDefault="00E4743D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C111B62" wp14:editId="175468A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DD" w:rsidRDefault="00FF33DD">
      <w:pPr>
        <w:jc w:val="center"/>
        <w:rPr>
          <w:caps/>
          <w:sz w:val="12"/>
          <w:szCs w:val="12"/>
        </w:rPr>
      </w:pPr>
    </w:p>
    <w:p w:rsidR="00FF33DD" w:rsidRDefault="00E4743D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FF33DD" w:rsidRDefault="00E4743D">
      <w:pPr>
        <w:jc w:val="center"/>
        <w:rPr>
          <w:b/>
          <w:caps/>
        </w:rPr>
      </w:pPr>
      <w:r>
        <w:rPr>
          <w:b/>
          <w:caps/>
        </w:rPr>
        <w:t>VISUOMENĖS INFORMAVIMO ĮSTATYMO NR. I-1418 2 IR 6 STRAIPSNIŲ PAKEITIMO</w:t>
      </w:r>
    </w:p>
    <w:p w:rsidR="00FF33DD" w:rsidRDefault="00E4743D">
      <w:pPr>
        <w:jc w:val="center"/>
        <w:rPr>
          <w:caps/>
        </w:rPr>
      </w:pPr>
      <w:r>
        <w:rPr>
          <w:b/>
          <w:caps/>
        </w:rPr>
        <w:t>ĮSTATYMAS</w:t>
      </w:r>
    </w:p>
    <w:p w:rsidR="00FF33DD" w:rsidRDefault="00FF33DD">
      <w:pPr>
        <w:jc w:val="center"/>
        <w:rPr>
          <w:b/>
          <w:caps/>
        </w:rPr>
      </w:pPr>
    </w:p>
    <w:p w:rsidR="00FF33DD" w:rsidRDefault="00E4743D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balandžio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XIV-240</w:t>
      </w:r>
    </w:p>
    <w:p w:rsidR="00FF33DD" w:rsidRDefault="00E4743D">
      <w:pPr>
        <w:jc w:val="center"/>
        <w:rPr>
          <w:szCs w:val="24"/>
        </w:rPr>
      </w:pPr>
      <w:r>
        <w:rPr>
          <w:szCs w:val="24"/>
        </w:rPr>
        <w:t>Vilnius</w:t>
      </w:r>
    </w:p>
    <w:p w:rsidR="00FF33DD" w:rsidRDefault="00FF33DD">
      <w:pPr>
        <w:jc w:val="center"/>
        <w:rPr>
          <w:sz w:val="22"/>
        </w:rPr>
      </w:pPr>
    </w:p>
    <w:p w:rsidR="00FF33DD" w:rsidRDefault="00FF33D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FF33DD" w:rsidRDefault="00E4743D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 straipsnio pakeitimas</w:t>
      </w:r>
    </w:p>
    <w:p w:rsidR="00FF33DD" w:rsidRDefault="00E4743D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 straipsnio 86 dalį ir ją išdėstyti taip:</w:t>
      </w:r>
    </w:p>
    <w:p w:rsidR="00FF33DD" w:rsidRDefault="00E4743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86</w:t>
      </w:r>
      <w:r>
        <w:rPr>
          <w:color w:val="000000"/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Kitos šiame įstatyme vartojamos sąvokos suprantamos taip, kaip jos apibrėžtos Lietuvos Respublikos alkoholio kontrolės įstatyme, Lie</w:t>
      </w:r>
      <w:r>
        <w:rPr>
          <w:color w:val="000000"/>
          <w:szCs w:val="24"/>
          <w:lang w:eastAsia="lt-LT"/>
        </w:rPr>
        <w:t>tuvos Respublikos azartinių lošimų įstatyme, Elektroninių ryšių įstatyme, Lietuvos Respublikos farmacijos įstatyme, Lietuvos Respublikos informacinės visuomenės paslaugų įstatyme, Lietuvos Respublikos konkurencijos įstatyme, Lietuvos Respublikos loterijų į</w:t>
      </w:r>
      <w:r>
        <w:rPr>
          <w:color w:val="000000"/>
          <w:szCs w:val="24"/>
          <w:lang w:eastAsia="lt-LT"/>
        </w:rPr>
        <w:t>statyme, Lietuvos Respublikos nepilnamečių apsaugos nuo neigiamo viešosios informacijos poveikio įstatyme, Lietuvos Respublikos politinių kampanijų finansavimo ir finansavimo kontrolės įstatyme, Lietuvos Respublikos politinių partijų įstatyme, Lietuvos Res</w:t>
      </w:r>
      <w:r>
        <w:rPr>
          <w:color w:val="000000"/>
          <w:szCs w:val="24"/>
          <w:lang w:eastAsia="lt-LT"/>
        </w:rPr>
        <w:t xml:space="preserve">publikos reklamos įstatyme, </w:t>
      </w:r>
      <w:r>
        <w:rPr>
          <w:szCs w:val="24"/>
          <w:lang w:eastAsia="lt-LT"/>
        </w:rPr>
        <w:t>Lietuvos Respublikos tabako, tabako gaminių ir su jais susijusių gaminių kontrolės įstatyme,</w:t>
      </w:r>
      <w:r>
        <w:rPr>
          <w:color w:val="000000"/>
          <w:szCs w:val="24"/>
          <w:lang w:eastAsia="lt-LT"/>
        </w:rPr>
        <w:t xml:space="preserve"> Teisės gauti informaciją iš valstybės ir savivaldybių institucijų ir įstaigų įstatyme, Lietuvos Respublikos valstybės informacinių ište</w:t>
      </w:r>
      <w:r>
        <w:rPr>
          <w:color w:val="000000"/>
          <w:szCs w:val="24"/>
          <w:lang w:eastAsia="lt-LT"/>
        </w:rPr>
        <w:t>klių valdymo įstatyme, Lietuvos Respublikos valstybės ir tarnybos paslapčių įstatyme, Lietuvos Respublikos valstybės politikų ir valstybės pareigūnų darbo apmokėjimo įstatyme, Lietuvos Respublikos viešojo administravimo įstatyme, Lietuvos Respublikos viešų</w:t>
      </w:r>
      <w:r>
        <w:rPr>
          <w:color w:val="000000"/>
          <w:szCs w:val="24"/>
          <w:lang w:eastAsia="lt-LT"/>
        </w:rPr>
        <w:t>jų ir privačių interesų derinimo įstatyme ir kituose įstatymuose.“</w:t>
      </w:r>
    </w:p>
    <w:p w:rsidR="00FF33DD" w:rsidRDefault="00E4743D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FF33DD" w:rsidRDefault="00E4743D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6 straipsnio pakeitimas</w:t>
      </w:r>
    </w:p>
    <w:p w:rsidR="00FF33DD" w:rsidRDefault="00E4743D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6 straipsnio pavadinimą ir jį išdėstyti taip:</w:t>
      </w:r>
    </w:p>
    <w:p w:rsidR="00FF33DD" w:rsidRDefault="00E4743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6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Teisė gauti informaciją</w:t>
      </w:r>
      <w:r>
        <w:rPr>
          <w:szCs w:val="24"/>
          <w:lang w:eastAsia="lt-LT"/>
        </w:rPr>
        <w:t>“.</w:t>
      </w:r>
    </w:p>
    <w:p w:rsidR="00FF33DD" w:rsidRDefault="00E4743D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Papildyti 6 straipsnį </w:t>
      </w:r>
      <w:r>
        <w:rPr>
          <w:szCs w:val="24"/>
        </w:rPr>
        <w:t>8 dalimi:</w:t>
      </w:r>
    </w:p>
    <w:p w:rsidR="00FF33DD" w:rsidRDefault="00E4743D">
      <w:pPr>
        <w:tabs>
          <w:tab w:val="left" w:pos="993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8</w:t>
      </w:r>
      <w:r>
        <w:rPr>
          <w:bCs/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>Žurnalistas turi teisę viešosios informacijos rengėjo ir</w:t>
      </w:r>
      <w:r>
        <w:rPr>
          <w:bCs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 xml:space="preserve">(ar) skleidėjo, su kuriuo žurnalistą sieja sutartiniai santykiai, vardu neatlygintinai gauti šio įstatymo ir kitų įstatymų nustatytus duomenis ir informaciją iš registro ar valstybės </w:t>
      </w:r>
      <w:r>
        <w:rPr>
          <w:bCs/>
          <w:color w:val="000000"/>
          <w:szCs w:val="24"/>
          <w:lang w:eastAsia="lt-LT"/>
        </w:rPr>
        <w:t xml:space="preserve">informacinės sistemos tvarkytojo, </w:t>
      </w:r>
      <w:r>
        <w:rPr>
          <w:bCs/>
          <w:color w:val="000000"/>
          <w:szCs w:val="24"/>
          <w:lang w:eastAsia="lt-LT"/>
        </w:rPr>
        <w:lastRenderedPageBreak/>
        <w:t xml:space="preserve">jeigu </w:t>
      </w:r>
      <w:r>
        <w:rPr>
          <w:bCs/>
          <w:szCs w:val="24"/>
          <w:lang w:eastAsia="lt-LT"/>
        </w:rPr>
        <w:t xml:space="preserve">viešosios informacijos rengėjas </w:t>
      </w:r>
      <w:r>
        <w:rPr>
          <w:bCs/>
          <w:color w:val="000000"/>
          <w:szCs w:val="24"/>
          <w:lang w:eastAsia="lt-LT"/>
        </w:rPr>
        <w:t>ir</w:t>
      </w:r>
      <w:r>
        <w:rPr>
          <w:bCs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>(ar) skleidėjas, kurio vardu jis prašo pateikti duomenis ir kuriam rengia ketinamą skelbti informaciją, per paskutinius metus</w:t>
      </w:r>
      <w:r>
        <w:rPr>
          <w:bCs/>
          <w:szCs w:val="24"/>
          <w:lang w:eastAsia="lt-LT"/>
        </w:rPr>
        <w:t>:</w:t>
      </w:r>
    </w:p>
    <w:p w:rsidR="00FF33DD" w:rsidRDefault="00E4743D">
      <w:pPr>
        <w:tabs>
          <w:tab w:val="left" w:pos="993"/>
        </w:tabs>
        <w:spacing w:line="360" w:lineRule="auto"/>
        <w:ind w:firstLine="720"/>
        <w:jc w:val="both"/>
        <w:rPr>
          <w:bCs/>
          <w:strike/>
          <w:color w:val="000000"/>
          <w:szCs w:val="24"/>
        </w:rPr>
      </w:pPr>
      <w:r>
        <w:rPr>
          <w:bCs/>
          <w:color w:val="000000"/>
          <w:szCs w:val="24"/>
        </w:rPr>
        <w:t>1</w:t>
      </w:r>
      <w:r>
        <w:rPr>
          <w:bCs/>
          <w:color w:val="000000"/>
          <w:szCs w:val="24"/>
        </w:rPr>
        <w:t>)</w:t>
      </w:r>
      <w:r>
        <w:rPr>
          <w:bCs/>
          <w:szCs w:val="24"/>
        </w:rPr>
        <w:t xml:space="preserve"> </w:t>
      </w:r>
      <w:r>
        <w:rPr>
          <w:bCs/>
          <w:color w:val="000000"/>
          <w:szCs w:val="24"/>
        </w:rPr>
        <w:t xml:space="preserve">yra padaręs ne daugiau kaip du šio įstatymo 19 </w:t>
      </w:r>
      <w:r>
        <w:rPr>
          <w:bCs/>
          <w:color w:val="000000"/>
          <w:szCs w:val="24"/>
        </w:rPr>
        <w:t>straipsnio 1, 2 ir (ar) 3 dalių pažeidimus ir</w:t>
      </w:r>
      <w:r>
        <w:rPr>
          <w:bCs/>
          <w:szCs w:val="24"/>
        </w:rPr>
        <w:t xml:space="preserve"> </w:t>
      </w:r>
      <w:r>
        <w:rPr>
          <w:bCs/>
          <w:color w:val="000000"/>
          <w:szCs w:val="24"/>
        </w:rPr>
        <w:t>(ar)</w:t>
      </w:r>
    </w:p>
    <w:p w:rsidR="00FF33DD" w:rsidRDefault="00E4743D">
      <w:pPr>
        <w:tabs>
          <w:tab w:val="left" w:pos="993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color w:val="000000"/>
          <w:szCs w:val="24"/>
        </w:rPr>
        <w:t>2</w:t>
      </w:r>
      <w:r>
        <w:rPr>
          <w:bCs/>
          <w:color w:val="000000"/>
          <w:szCs w:val="24"/>
        </w:rPr>
        <w:t>)</w:t>
      </w:r>
      <w:r>
        <w:rPr>
          <w:bCs/>
          <w:szCs w:val="24"/>
        </w:rPr>
        <w:t xml:space="preserve"> </w:t>
      </w:r>
      <w:r>
        <w:rPr>
          <w:bCs/>
          <w:color w:val="000000"/>
          <w:szCs w:val="24"/>
        </w:rPr>
        <w:t>nėra Visuomenės informavimo etikos komisijos pripažintas profesinės etikos nesilaikančiu viešosios informacijos rengėju ir (ar) skleidėju</w:t>
      </w:r>
      <w:r>
        <w:rPr>
          <w:bCs/>
          <w:szCs w:val="24"/>
        </w:rPr>
        <w:t>.“</w:t>
      </w:r>
    </w:p>
    <w:p w:rsidR="00FF33DD" w:rsidRDefault="00E4743D">
      <w:pPr>
        <w:tabs>
          <w:tab w:val="left" w:pos="993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3</w:t>
      </w:r>
      <w:r>
        <w:rPr>
          <w:bCs/>
          <w:szCs w:val="24"/>
        </w:rPr>
        <w:t>. Papildyti 6 straipsnį 9 dalimi:</w:t>
      </w:r>
    </w:p>
    <w:p w:rsidR="00FF33DD" w:rsidRDefault="00E4743D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9</w:t>
      </w:r>
      <w:r>
        <w:rPr>
          <w:bCs/>
          <w:szCs w:val="24"/>
          <w:lang w:eastAsia="lt-LT"/>
        </w:rPr>
        <w:t>. Žurnali</w:t>
      </w:r>
      <w:r>
        <w:rPr>
          <w:bCs/>
          <w:szCs w:val="24"/>
          <w:lang w:eastAsia="lt-LT"/>
        </w:rPr>
        <w:t xml:space="preserve">stai šio straipsnio 8 dalyje nustatytomis sąlygomis iš Juridinių asmenų dalyvių informacinės sistemos tvarkytojo turi teisę gauti aktualius ir istorinius juridinio asmens dalyvių </w:t>
      </w:r>
      <w:r>
        <w:rPr>
          <w:bCs/>
          <w:color w:val="000000"/>
          <w:szCs w:val="24"/>
          <w:lang w:eastAsia="lt-LT"/>
        </w:rPr>
        <w:t>ir</w:t>
      </w:r>
      <w:r>
        <w:rPr>
          <w:bCs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 xml:space="preserve">(ar) </w:t>
      </w:r>
      <w:r>
        <w:rPr>
          <w:bCs/>
          <w:szCs w:val="24"/>
          <w:lang w:eastAsia="lt-LT"/>
        </w:rPr>
        <w:t xml:space="preserve">naudos gavėjų duomenis, išskyrus fizinio asmens kodą, </w:t>
      </w:r>
      <w:r>
        <w:rPr>
          <w:bCs/>
          <w:color w:val="000000"/>
          <w:szCs w:val="24"/>
          <w:shd w:val="clear" w:color="auto" w:fill="FFFFFF"/>
          <w:lang w:eastAsia="lt-LT"/>
        </w:rPr>
        <w:t>gyvenamąją viet</w:t>
      </w:r>
      <w:r>
        <w:rPr>
          <w:bCs/>
          <w:color w:val="000000"/>
          <w:szCs w:val="24"/>
          <w:shd w:val="clear" w:color="auto" w:fill="FFFFFF"/>
          <w:lang w:eastAsia="lt-LT"/>
        </w:rPr>
        <w:t>ą arba adresą korespondencijai</w:t>
      </w:r>
      <w:r>
        <w:rPr>
          <w:bCs/>
          <w:szCs w:val="24"/>
          <w:lang w:eastAsia="lt-LT"/>
        </w:rPr>
        <w:t>.“</w:t>
      </w:r>
    </w:p>
    <w:p w:rsidR="00FF33DD" w:rsidRDefault="00E4743D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4</w:t>
      </w:r>
      <w:r>
        <w:rPr>
          <w:bCs/>
          <w:szCs w:val="24"/>
        </w:rPr>
        <w:t>. Papildyti 6 straipsnį 10 dalimi:</w:t>
      </w:r>
    </w:p>
    <w:p w:rsidR="00FF33DD" w:rsidRDefault="00E4743D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10</w:t>
      </w:r>
      <w:r>
        <w:rPr>
          <w:bCs/>
          <w:szCs w:val="24"/>
          <w:lang w:eastAsia="lt-LT"/>
        </w:rPr>
        <w:t>. Neatlygintino registrų ir valstybės informacinių sistemų duomenų teikimo žurnalistams sąnaudos regis</w:t>
      </w:r>
      <w:bookmarkStart w:id="0" w:name="_GoBack"/>
      <w:bookmarkEnd w:id="0"/>
      <w:r>
        <w:rPr>
          <w:bCs/>
          <w:szCs w:val="24"/>
          <w:lang w:eastAsia="lt-LT"/>
        </w:rPr>
        <w:t xml:space="preserve">tro ir valstybės informacinių sistemų tvarkytojui kompensuojamos </w:t>
      </w:r>
      <w:proofErr w:type="spellStart"/>
      <w:r>
        <w:rPr>
          <w:bCs/>
          <w:i/>
          <w:szCs w:val="24"/>
          <w:lang w:eastAsia="lt-LT"/>
        </w:rPr>
        <w:t>mutatis</w:t>
      </w:r>
      <w:proofErr w:type="spellEnd"/>
      <w:r>
        <w:rPr>
          <w:bCs/>
          <w:i/>
          <w:szCs w:val="24"/>
          <w:lang w:eastAsia="lt-LT"/>
        </w:rPr>
        <w:t xml:space="preserve"> </w:t>
      </w:r>
      <w:proofErr w:type="spellStart"/>
      <w:r>
        <w:rPr>
          <w:bCs/>
          <w:i/>
          <w:szCs w:val="24"/>
          <w:lang w:eastAsia="lt-LT"/>
        </w:rPr>
        <w:t>mutandis</w:t>
      </w:r>
      <w:proofErr w:type="spellEnd"/>
      <w:r>
        <w:rPr>
          <w:bCs/>
          <w:szCs w:val="24"/>
          <w:lang w:eastAsia="lt-LT"/>
        </w:rPr>
        <w:t xml:space="preserve"> Valstybės informacinių išteklių valdymo įstatymo 29 straipsnyje nustatyta tvarka.“</w:t>
      </w:r>
    </w:p>
    <w:p w:rsidR="00FF33DD" w:rsidRDefault="00E4743D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:rsidR="00FF33DD" w:rsidRDefault="00E4743D">
      <w:pPr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 w:rsidR="00FF33DD" w:rsidRDefault="00E4743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2021 m. liepos 1 d.</w:t>
      </w:r>
    </w:p>
    <w:p w:rsidR="00FF33DD" w:rsidRDefault="00E4743D">
      <w:pPr>
        <w:spacing w:line="360" w:lineRule="auto"/>
        <w:ind w:firstLine="720"/>
        <w:jc w:val="both"/>
        <w:rPr>
          <w:i/>
          <w:szCs w:val="24"/>
        </w:rPr>
      </w:pPr>
    </w:p>
    <w:p w:rsidR="00FF33DD" w:rsidRDefault="00E4743D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FF33DD" w:rsidRDefault="00FF33DD">
      <w:pPr>
        <w:spacing w:line="360" w:lineRule="auto"/>
        <w:rPr>
          <w:i/>
          <w:szCs w:val="24"/>
        </w:rPr>
      </w:pPr>
    </w:p>
    <w:p w:rsidR="00FF33DD" w:rsidRDefault="00FF33DD">
      <w:pPr>
        <w:spacing w:line="360" w:lineRule="auto"/>
        <w:rPr>
          <w:i/>
          <w:szCs w:val="24"/>
        </w:rPr>
      </w:pPr>
    </w:p>
    <w:p w:rsidR="00FF33DD" w:rsidRDefault="00FF33DD">
      <w:pPr>
        <w:spacing w:line="360" w:lineRule="auto"/>
      </w:pPr>
    </w:p>
    <w:p w:rsidR="00FF33DD" w:rsidRDefault="00E4743D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FF3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DD" w:rsidRDefault="00E4743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FF33DD" w:rsidRDefault="00E4743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D" w:rsidRDefault="00E4743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FF33DD" w:rsidRDefault="00FF33D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D" w:rsidRDefault="00FF33D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D" w:rsidRDefault="00FF33D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DD" w:rsidRDefault="00E4743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FF33DD" w:rsidRDefault="00E4743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D" w:rsidRDefault="00E4743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FF33DD" w:rsidRDefault="00FF33D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D" w:rsidRDefault="00E4743D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FF33DD" w:rsidRDefault="00FF33D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D" w:rsidRDefault="00FF33D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A0"/>
    <w:rsid w:val="00E4743D"/>
    <w:rsid w:val="00FE6FA0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3234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2021-04-28T09:20:00Z</dcterms:created>
  <dc:creator>„Windows“ vartotojas</dc:creator>
  <lastModifiedBy>TRAPINSKIENĖ Aušrinė</lastModifiedBy>
  <lastPrinted>2021-04-15T08:53:00Z</lastPrinted>
  <dcterms:modified xsi:type="dcterms:W3CDTF">2021-04-28T10:15:00Z</dcterms:modified>
  <revision>3</revision>
</coreProperties>
</file>