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07018b4802842fcbd91038abb03a4e5"/>
        <w:id w:val="1035089196"/>
        <w:lock w:val="sdtLocked"/>
      </w:sdtPr>
      <w:sdtEndPr/>
      <w:sdtContent>
        <w:p w:rsidR="006060A9" w:rsidRDefault="006060A9" w:rsidP="00CB7EA8">
          <w:pPr>
            <w:jc w:val="center"/>
            <w:rPr>
              <w:b/>
              <w:szCs w:val="24"/>
              <w:lang w:eastAsia="lt-LT"/>
            </w:rPr>
          </w:pPr>
        </w:p>
        <w:p w:rsidR="006060A9" w:rsidRDefault="006060A9" w:rsidP="00CB7EA8">
          <w:pPr>
            <w:jc w:val="center"/>
            <w:rPr>
              <w:b/>
              <w:szCs w:val="24"/>
              <w:lang w:eastAsia="lt-LT"/>
            </w:rPr>
          </w:pPr>
        </w:p>
        <w:p w:rsidR="006060A9" w:rsidRDefault="00CB7EA8">
          <w:pPr>
            <w:jc w:val="center"/>
            <w:rPr>
              <w:lang w:eastAsia="lt-LT"/>
            </w:rPr>
          </w:pPr>
          <w:r>
            <w:rPr>
              <w:rFonts w:ascii="Arial" w:hAnsi="Arial" w:cs="Arial"/>
              <w:noProof/>
              <w:lang w:eastAsia="lt-LT"/>
            </w:rPr>
            <w:drawing>
              <wp:inline distT="0" distB="0" distL="0" distR="0" wp14:anchorId="5E3F8CAB" wp14:editId="4704725C">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6060A9" w:rsidRDefault="006060A9" w:rsidP="00CB7EA8">
          <w:pPr>
            <w:jc w:val="center"/>
            <w:rPr>
              <w:sz w:val="10"/>
              <w:szCs w:val="10"/>
            </w:rPr>
          </w:pPr>
        </w:p>
        <w:p w:rsidR="006060A9" w:rsidRDefault="00CB7EA8" w:rsidP="00CB7EA8">
          <w:pPr>
            <w:keepNext/>
            <w:jc w:val="center"/>
            <w:rPr>
              <w:rFonts w:ascii="Arial" w:hAnsi="Arial" w:cs="Arial"/>
              <w:caps/>
              <w:sz w:val="36"/>
              <w:lang w:eastAsia="lt-LT"/>
            </w:rPr>
          </w:pPr>
          <w:r>
            <w:rPr>
              <w:rFonts w:ascii="Arial" w:hAnsi="Arial" w:cs="Arial"/>
              <w:caps/>
              <w:sz w:val="36"/>
              <w:lang w:eastAsia="lt-LT"/>
            </w:rPr>
            <w:t>Lietuvos Respublikos Vyriausybė</w:t>
          </w:r>
        </w:p>
        <w:p w:rsidR="006060A9" w:rsidRDefault="006060A9" w:rsidP="00CB7EA8">
          <w:pPr>
            <w:jc w:val="center"/>
            <w:rPr>
              <w:caps/>
              <w:lang w:eastAsia="lt-LT"/>
            </w:rPr>
          </w:pPr>
        </w:p>
        <w:p w:rsidR="006060A9" w:rsidRDefault="00CB7EA8" w:rsidP="00CB7EA8">
          <w:pPr>
            <w:jc w:val="center"/>
            <w:rPr>
              <w:b/>
              <w:caps/>
              <w:lang w:eastAsia="lt-LT"/>
            </w:rPr>
          </w:pPr>
          <w:r>
            <w:rPr>
              <w:b/>
              <w:caps/>
              <w:lang w:eastAsia="lt-LT"/>
            </w:rPr>
            <w:t>nutarimas</w:t>
          </w:r>
        </w:p>
        <w:p w:rsidR="006060A9" w:rsidRDefault="00CB7EA8" w:rsidP="00CB7EA8">
          <w:pPr>
            <w:widowControl w:val="0"/>
            <w:jc w:val="center"/>
            <w:rPr>
              <w:b/>
              <w:caps/>
              <w:lang w:eastAsia="lt-LT"/>
            </w:rPr>
          </w:pPr>
          <w:r>
            <w:rPr>
              <w:b/>
              <w:szCs w:val="24"/>
              <w:lang w:eastAsia="lt-LT"/>
            </w:rPr>
            <w:t xml:space="preserve">DĖL </w:t>
          </w:r>
          <w:r>
            <w:rPr>
              <w:rFonts w:eastAsia="Calibri"/>
              <w:b/>
              <w:caps/>
              <w:color w:val="000000"/>
              <w:szCs w:val="24"/>
              <w:lang w:eastAsia="lt-LT"/>
            </w:rPr>
            <w:t>LIETUVOS RESPUBLIKOS ŽEMĖS ĮSTATYMO NR. I-446 9 STRAIPSNIO PAKEITIMO</w:t>
          </w:r>
          <w:r>
            <w:rPr>
              <w:rFonts w:eastAsia="Calibri"/>
              <w:b/>
              <w:color w:val="000000"/>
              <w:szCs w:val="24"/>
              <w:lang w:eastAsia="lt-LT"/>
            </w:rPr>
            <w:t xml:space="preserve"> ĮSTATYMO PROJEKTO NR. </w:t>
          </w:r>
          <w:r>
            <w:rPr>
              <w:b/>
              <w:bCs/>
              <w:color w:val="000000"/>
              <w:lang w:eastAsia="lt-LT"/>
            </w:rPr>
            <w:t>XVP-369</w:t>
          </w:r>
        </w:p>
        <w:p w:rsidR="006060A9" w:rsidRDefault="006060A9" w:rsidP="00CB7EA8">
          <w:pPr>
            <w:jc w:val="center"/>
            <w:rPr>
              <w:b/>
              <w:caps/>
              <w:szCs w:val="24"/>
              <w:lang w:eastAsia="lt-LT"/>
            </w:rPr>
          </w:pPr>
        </w:p>
        <w:p w:rsidR="00CB7EA8" w:rsidRPr="00CB7EA8" w:rsidRDefault="00CB7EA8" w:rsidP="00CB7EA8">
          <w:pPr>
            <w:jc w:val="center"/>
            <w:rPr>
              <w:szCs w:val="24"/>
              <w:lang w:eastAsia="lt-LT"/>
            </w:rPr>
          </w:pPr>
          <w:r>
            <w:rPr>
              <w:lang w:eastAsia="lt-LT"/>
            </w:rPr>
            <w:t xml:space="preserve">2025 m. liepos 30 d. </w:t>
          </w:r>
          <w:r>
            <w:rPr>
              <w:lang w:eastAsia="lt-LT"/>
            </w:rPr>
            <w:t xml:space="preserve">Nr. </w:t>
          </w:r>
          <w:r w:rsidRPr="00CB7EA8">
            <w:rPr>
              <w:szCs w:val="24"/>
              <w:lang w:eastAsia="lt-LT"/>
            </w:rPr>
            <w:t>528</w:t>
          </w:r>
        </w:p>
        <w:p w:rsidR="006060A9" w:rsidRDefault="00CB7EA8" w:rsidP="00CB7EA8">
          <w:pPr>
            <w:jc w:val="center"/>
            <w:rPr>
              <w:lang w:eastAsia="lt-LT"/>
            </w:rPr>
          </w:pPr>
          <w:r>
            <w:rPr>
              <w:lang w:eastAsia="lt-LT"/>
            </w:rPr>
            <w:t>Vilnius</w:t>
          </w:r>
        </w:p>
        <w:p w:rsidR="006060A9" w:rsidRDefault="006060A9" w:rsidP="00CB7EA8">
          <w:pPr>
            <w:jc w:val="center"/>
            <w:rPr>
              <w:lang w:eastAsia="lt-LT"/>
            </w:rPr>
          </w:pPr>
        </w:p>
        <w:p w:rsidR="00CB7EA8" w:rsidRDefault="00CB7EA8" w:rsidP="00CB7EA8">
          <w:pPr>
            <w:jc w:val="center"/>
            <w:rPr>
              <w:lang w:eastAsia="lt-LT"/>
            </w:rPr>
          </w:pPr>
        </w:p>
        <w:sdt>
          <w:sdtPr>
            <w:alias w:val="preambule"/>
            <w:tag w:val="part_e46812300f3d483297533aaca5f16032"/>
            <w:id w:val="1980501684"/>
            <w:lock w:val="sdtLocked"/>
          </w:sdtPr>
          <w:sdtEndPr/>
          <w:sdtContent>
            <w:p w:rsidR="006060A9" w:rsidRDefault="00CB7EA8">
              <w:pPr>
                <w:spacing w:line="274" w:lineRule="auto"/>
                <w:ind w:firstLine="720"/>
                <w:jc w:val="both"/>
                <w:rPr>
                  <w:szCs w:val="24"/>
                  <w:lang w:eastAsia="lt-LT"/>
                </w:rPr>
              </w:pPr>
              <w:r>
                <w:rPr>
                  <w:color w:val="000000"/>
                  <w:lang w:eastAsia="lt-LT"/>
                </w:rPr>
                <w:t xml:space="preserve">Vadovaudamasi Lietuvos Respublikos Seimo statuto 138 straipsnio 3 dalimi ir atsižvelgdama į Lietuvos Respublikos Seimo 2025 m. gegužės 15 d. vakarinio posėdžio metu priimtą sprendimą (protokolas Nr. SPP-46),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eb4e498cb5a044ecac4afa64ee56efce"/>
            <w:id w:val="1654250921"/>
            <w:lock w:val="sdtLocked"/>
          </w:sdtPr>
          <w:sdtEndPr/>
          <w:sdtContent>
            <w:p w:rsidR="006060A9" w:rsidRDefault="00CB7EA8">
              <w:pPr>
                <w:spacing w:line="274" w:lineRule="auto"/>
                <w:ind w:firstLine="720"/>
                <w:jc w:val="both"/>
                <w:rPr>
                  <w:color w:val="000000"/>
                  <w:lang w:eastAsia="lt-LT"/>
                </w:rPr>
              </w:pPr>
              <w:r>
                <w:rPr>
                  <w:color w:val="000000"/>
                  <w:lang w:eastAsia="lt-LT"/>
                </w:rPr>
                <w:t>Nepritarti Lietuvos Respublikos žemės įstatymo Nr. I-446 9 straipsnio pakeitimo įstatymo projektui Nr. XVP-369 (toliau – Įstatymo projektas) dėl šių priežasčių:</w:t>
              </w:r>
            </w:p>
          </w:sdtContent>
        </w:sdt>
        <w:sdt>
          <w:sdtPr>
            <w:alias w:val="1 p."/>
            <w:tag w:val="part_a9aace69718e4e3780bbc49674055084"/>
            <w:id w:val="-1251193879"/>
            <w:lock w:val="sdtLocked"/>
          </w:sdtPr>
          <w:sdtEndPr/>
          <w:sdtContent>
            <w:p w:rsidR="006060A9" w:rsidRDefault="00CB7EA8">
              <w:pPr>
                <w:spacing w:line="274" w:lineRule="auto"/>
                <w:ind w:firstLine="720"/>
                <w:jc w:val="both"/>
                <w:rPr>
                  <w:lang w:eastAsia="lt-LT"/>
                </w:rPr>
              </w:pPr>
              <w:sdt>
                <w:sdtPr>
                  <w:alias w:val="Numeris"/>
                  <w:tag w:val="nr_a9aace69718e4e3780bbc49674055084"/>
                  <w:id w:val="-186906380"/>
                  <w:lock w:val="sdtLocked"/>
                </w:sdtPr>
                <w:sdtEndPr/>
                <w:sdtContent>
                  <w:r>
                    <w:rPr>
                      <w:color w:val="000000"/>
                      <w:lang w:eastAsia="lt-LT"/>
                    </w:rPr>
                    <w:t>1</w:t>
                  </w:r>
                </w:sdtContent>
              </w:sdt>
              <w:r>
                <w:rPr>
                  <w:color w:val="000000"/>
                  <w:lang w:eastAsia="lt-LT"/>
                </w:rPr>
                <w:t xml:space="preserve">. </w:t>
              </w:r>
              <w:r>
                <w:rPr>
                  <w:lang w:eastAsia="lt-LT"/>
                </w:rPr>
                <w:t>Lietuvos Respublikos Seimas 2025 m. gegužės 15 d. priėmė Lietuvos Respublikos žemės įsta</w:t>
              </w:r>
              <w:r>
                <w:rPr>
                  <w:lang w:eastAsia="lt-LT"/>
                </w:rPr>
                <w:t>tymo Nr. I-446 2, 7, 8, 9, 10, 11, 15, 22, 23, 29, 32, 34, 35, 37, 40, 41, 43, 45, 47, 55, 56, 64, 66 straipsnių ir VI</w:t>
              </w:r>
              <w:r>
                <w:rPr>
                  <w:vertAlign w:val="superscript"/>
                  <w:lang w:eastAsia="lt-LT"/>
                </w:rPr>
                <w:t>1</w:t>
              </w:r>
              <w:r>
                <w:rPr>
                  <w:lang w:eastAsia="lt-LT"/>
                </w:rPr>
                <w:t xml:space="preserve"> skyriaus pakeitimo įstatymą Nr. XV-211 (toliau </w:t>
              </w:r>
              <w:r>
                <w:rPr>
                  <w:color w:val="000000"/>
                  <w:lang w:eastAsia="lt-LT"/>
                </w:rPr>
                <w:t xml:space="preserve">– </w:t>
              </w:r>
              <w:r>
                <w:rPr>
                  <w:lang w:eastAsia="lt-LT"/>
                </w:rPr>
                <w:t xml:space="preserve">Įstatymas), kurio 4 straipsnio </w:t>
              </w:r>
              <w:r>
                <w:rPr>
                  <w:lang w:val="en-GB" w:eastAsia="lt-LT"/>
                </w:rPr>
                <w:t xml:space="preserve">12 </w:t>
              </w:r>
              <w:proofErr w:type="spellStart"/>
              <w:r>
                <w:rPr>
                  <w:lang w:val="en-GB" w:eastAsia="lt-LT"/>
                </w:rPr>
                <w:t>dalimi</w:t>
              </w:r>
              <w:proofErr w:type="spellEnd"/>
              <w:r>
                <w:rPr>
                  <w:lang w:val="en-GB" w:eastAsia="lt-LT"/>
                </w:rPr>
                <w:t xml:space="preserve"> </w:t>
              </w:r>
              <w:r>
                <w:rPr>
                  <w:lang w:eastAsia="lt-LT"/>
                </w:rPr>
                <w:t xml:space="preserve">keičiamas Lietuvos Respublikos žemės įstatymo </w:t>
              </w:r>
              <w:r>
                <w:rPr>
                  <w:lang w:eastAsia="lt-LT"/>
                </w:rPr>
                <w:t>9 straipsnio 17 dalies 3 punktas, numatant, kad valstybinės žemės nuomos sutartis turi būti nutraukiama prieš terminą valstybinės žemės nuomotojo reikalavimu, jeigu valstybinės žemės nuomininkas naudoja statinius ir (ar) įrenginius ne pagal Nekilnojamojo t</w:t>
              </w:r>
              <w:r>
                <w:rPr>
                  <w:lang w:eastAsia="lt-LT"/>
                </w:rPr>
                <w:t>urto kadastre įrašytą jų tiesioginę paskirtį ir gavęs valstybinės žemės patikėtinio įspėjimą šio pažeidimo nepašalina per 2 metus arba 5 metus, kai vadovaujantis Lietuvos Respublikos teritorijų planavimo įstatymu turi būti rengiamas vietovės lygmens terito</w:t>
              </w:r>
              <w:r>
                <w:rPr>
                  <w:lang w:eastAsia="lt-LT"/>
                </w:rPr>
                <w:t>rijų planavimo dokumentas, ar nepateikia valstybinės žemės patikėtiniui dokumento, patvirtinančio statybos užbaigimą, ar nesutinka mokėti šio straipsnio 26 dalies 1 punkte nurodyto valstybinės žemės nuomos mokesčio. Apie valstybinės žemės patikėtinio spren</w:t>
              </w:r>
              <w:r>
                <w:rPr>
                  <w:lang w:eastAsia="lt-LT"/>
                </w:rPr>
                <w:t>dimą įspėti valstybinės žemės nuomininką dėl statinių ir (ar) įrenginių naudojimo ne pagal Nekilnojamojo turto kadastre įrašytą jų tiesioginę paskirtį kaimo gyvenamojoje vietovėje informuojama savivaldybė. Priėmus sprendimą nutraukti valstybinės žemės nuom</w:t>
              </w:r>
              <w:r>
                <w:rPr>
                  <w:lang w:eastAsia="lt-LT"/>
                </w:rPr>
                <w:t>os sutartį dėl statinių ar įrenginių naudojimo ne pagal Nekilnojamojo turto kadastre įrašytą jų tiesioginę paskirtį valstybinės žemės patikėtinis kreipiasi į statinių naudojimo priežiūrą atliekančią instituciją dėl statinių ir (ar) įrenginių nugriovimo (nu</w:t>
              </w:r>
              <w:r>
                <w:rPr>
                  <w:lang w:eastAsia="lt-LT"/>
                </w:rPr>
                <w:t>kėlimo ar pašalinimo) iš valstybinės žemės sklypo (ar jo dalies), jei valstybinės žemės nuomos sutartyje nesusitarta kitaip. Pašalinus pažeidimus, valstybinės žemės sklypo (jo dalies) nuomininkas turi kreiptis į valstybinės žemės nuomotoją dėl nuomos sutar</w:t>
              </w:r>
              <w:r>
                <w:rPr>
                  <w:lang w:eastAsia="lt-LT"/>
                </w:rPr>
                <w:t xml:space="preserve">ties pakeitimo. </w:t>
              </w:r>
            </w:p>
            <w:p w:rsidR="006060A9" w:rsidRDefault="00CB7EA8">
              <w:pPr>
                <w:spacing w:line="274" w:lineRule="auto"/>
                <w:ind w:firstLine="720"/>
                <w:jc w:val="both"/>
                <w:rPr>
                  <w:lang w:eastAsia="lt-LT"/>
                </w:rPr>
              </w:pPr>
              <w:r>
                <w:rPr>
                  <w:lang w:eastAsia="lt-LT"/>
                </w:rPr>
                <w:t xml:space="preserve">Įstatymo projekte siūloma nustatyti, kad valstybinės žemės patikėtinis turi mokėti už daromo pažeidimo pašalinimą, t. y. visais atvejais (priešingai, nei nurodyta </w:t>
              </w:r>
              <w:proofErr w:type="spellStart"/>
              <w:r>
                <w:rPr>
                  <w:lang w:eastAsia="lt-LT"/>
                </w:rPr>
                <w:t>aiškinamąjame</w:t>
              </w:r>
              <w:proofErr w:type="spellEnd"/>
              <w:r>
                <w:rPr>
                  <w:lang w:eastAsia="lt-LT"/>
                </w:rPr>
                <w:t xml:space="preserve"> rašte) savo nuosavybėn išpirkti statinius ir (ar) įrenginius. </w:t>
              </w:r>
              <w:r>
                <w:rPr>
                  <w:lang w:eastAsia="lt-LT"/>
                </w:rPr>
                <w:t>Kadangi aptariamu atveju pažeidimas atsiranda dėl statinių ir (ar) įrenginių naudojimo ne pagal Nekilnojamojo turto kadastre įrašytą jų tiesioginę paskirtį, tai ir jo šalinimas turi remtis statinių ir (ar) įrenginių naudojimo teisiniu reglamentavimu. Taigi</w:t>
              </w:r>
              <w:r>
                <w:rPr>
                  <w:lang w:eastAsia="lt-LT"/>
                </w:rPr>
                <w:t xml:space="preserve"> Įstatymo projekto tikslai bus pasiekti įgyvendinant 2025 m. liepos 1 d. </w:t>
              </w:r>
              <w:r>
                <w:rPr>
                  <w:lang w:eastAsia="lt-LT"/>
                </w:rPr>
                <w:lastRenderedPageBreak/>
                <w:t>įsigaliojusiu Įstatymu planuojamas teisinio reguliavimo priemones ir vykdant Lietuvos Respublikos vietos savivaldos įstatymo 6 straipsnio 21 punkte nurodytą savarankiškąją savivaldybė</w:t>
              </w:r>
              <w:r>
                <w:rPr>
                  <w:lang w:eastAsia="lt-LT"/>
                </w:rPr>
                <w:t xml:space="preserve">s funkciją </w:t>
              </w:r>
              <w:r>
                <w:rPr>
                  <w:color w:val="000000"/>
                  <w:lang w:eastAsia="lt-LT"/>
                </w:rPr>
                <w:t>–</w:t>
              </w:r>
              <w:r>
                <w:rPr>
                  <w:lang w:eastAsia="lt-LT"/>
                </w:rPr>
                <w:t xml:space="preserve"> statinių naudojimo priežiūrą neinvestuojant papildomų valstybės ar savivaldybės lėšų pažeidėjo daromam pažeidimui pašalinti. </w:t>
              </w:r>
            </w:p>
            <w:p w:rsidR="006060A9" w:rsidRDefault="00CB7EA8">
              <w:pPr>
                <w:spacing w:line="274" w:lineRule="auto"/>
                <w:ind w:firstLine="720"/>
                <w:jc w:val="both"/>
                <w:rPr>
                  <w:color w:val="000000"/>
                  <w:sz w:val="4"/>
                  <w:szCs w:val="4"/>
                  <w:lang w:eastAsia="lt-LT"/>
                </w:rPr>
              </w:pPr>
            </w:p>
          </w:sdtContent>
        </w:sdt>
        <w:sdt>
          <w:sdtPr>
            <w:alias w:val="2 p."/>
            <w:tag w:val="part_4c35b0c1e0c540099a192d9d22227088"/>
            <w:id w:val="1939098834"/>
            <w:lock w:val="sdtLocked"/>
          </w:sdtPr>
          <w:sdtEndPr/>
          <w:sdtContent>
            <w:p w:rsidR="006060A9" w:rsidRDefault="00CB7EA8">
              <w:pPr>
                <w:spacing w:line="274" w:lineRule="auto"/>
                <w:ind w:firstLine="720"/>
                <w:jc w:val="both"/>
                <w:rPr>
                  <w:lang w:eastAsia="lt-LT"/>
                </w:rPr>
              </w:pPr>
              <w:sdt>
                <w:sdtPr>
                  <w:alias w:val="Numeris"/>
                  <w:tag w:val="nr_4c35b0c1e0c540099a192d9d22227088"/>
                  <w:id w:val="-1991546731"/>
                  <w:lock w:val="sdtLocked"/>
                </w:sdtPr>
                <w:sdtEndPr/>
                <w:sdtContent>
                  <w:r>
                    <w:rPr>
                      <w:color w:val="000000"/>
                      <w:szCs w:val="24"/>
                      <w:lang w:eastAsia="lt-LT"/>
                    </w:rPr>
                    <w:t>2</w:t>
                  </w:r>
                </w:sdtContent>
              </w:sdt>
              <w:r>
                <w:rPr>
                  <w:color w:val="000000"/>
                  <w:szCs w:val="24"/>
                  <w:lang w:eastAsia="lt-LT"/>
                </w:rPr>
                <w:t>.</w:t>
              </w:r>
              <w:r>
                <w:rPr>
                  <w:szCs w:val="24"/>
                  <w:lang w:eastAsia="lt-LT"/>
                </w:rPr>
                <w:t xml:space="preserve"> </w:t>
              </w:r>
              <w:r>
                <w:rPr>
                  <w:lang w:eastAsia="lt-LT"/>
                </w:rPr>
                <w:t xml:space="preserve">Pažymėtina ir tai, kad 2025 m. liepos 1 d. įsigaliojusiu Įstatymu sukuriamas teisinis reguliavimas užtikrins </w:t>
              </w:r>
              <w:r>
                <w:rPr>
                  <w:lang w:eastAsia="lt-LT"/>
                </w:rPr>
                <w:t>teisinių santykių stabilumo poreikį.</w:t>
              </w:r>
            </w:p>
          </w:sdtContent>
        </w:sdt>
        <w:sdt>
          <w:sdtPr>
            <w:alias w:val="3 p."/>
            <w:tag w:val="part_dc04eb77acce4ce9872115a0959db8dd"/>
            <w:id w:val="675307082"/>
            <w:lock w:val="sdtLocked"/>
          </w:sdtPr>
          <w:sdtEndPr/>
          <w:sdtContent>
            <w:p w:rsidR="006060A9" w:rsidRDefault="00CB7EA8" w:rsidP="00CB7EA8">
              <w:pPr>
                <w:spacing w:line="274" w:lineRule="auto"/>
                <w:ind w:firstLine="720"/>
                <w:jc w:val="both"/>
                <w:rPr>
                  <w:szCs w:val="24"/>
                  <w:lang w:eastAsia="lt-LT"/>
                </w:rPr>
              </w:pPr>
              <w:sdt>
                <w:sdtPr>
                  <w:alias w:val="Numeris"/>
                  <w:tag w:val="nr_dc04eb77acce4ce9872115a0959db8dd"/>
                  <w:id w:val="1811899195"/>
                  <w:lock w:val="sdtLocked"/>
                </w:sdtPr>
                <w:sdtEndPr/>
                <w:sdtContent>
                  <w:r>
                    <w:rPr>
                      <w:color w:val="000000"/>
                      <w:lang w:eastAsia="lt-LT"/>
                    </w:rPr>
                    <w:t>3</w:t>
                  </w:r>
                </w:sdtContent>
              </w:sdt>
              <w:r>
                <w:rPr>
                  <w:color w:val="000000"/>
                  <w:lang w:eastAsia="lt-LT"/>
                </w:rPr>
                <w:t>. Atsižvelgiant į tai, kad Įstatymo projekte siūlomos teisinio reguliavimo priemonės nėra būtinos, o įgyvendinant siūlomą reguliavimą valstybės ar savivaldybių biudžetų lėšos būtų eikvojamos netikslingai ir neveiks</w:t>
              </w:r>
              <w:r>
                <w:rPr>
                  <w:color w:val="000000"/>
                  <w:lang w:eastAsia="lt-LT"/>
                </w:rPr>
                <w:t xml:space="preserve">mingai, daroma išvada, kad Įstatymo projektas neatitinka Lietuvos Respublikos teisėkūros pagrindų įstatymo 3 straipsnio 2 dalies 5 punkte įtvirtinto teisėkūros efektyvumo principo, reiškiančio, kad rengiant teisės akto projektą turi būti įvertinamos visos </w:t>
              </w:r>
              <w:r>
                <w:rPr>
                  <w:color w:val="000000"/>
                  <w:lang w:eastAsia="lt-LT"/>
                </w:rPr>
                <w:t>galimos teisinio reguliavimo alternatyvos ir pasirenkama geriausia iš jų, teisės akte turi būti įtvirtinamos veiksmingiausiai ir ekonomiškiausiai teisinio reguliavimo tikslą leisiančios pasiekti priemonės.</w:t>
              </w:r>
            </w:p>
          </w:sdtContent>
        </w:sdt>
        <w:sdt>
          <w:sdtPr>
            <w:alias w:val="signatura"/>
            <w:tag w:val="part_46dbf0cc4502409d9d4c5ce175fe375e"/>
            <w:id w:val="-1691205574"/>
            <w:lock w:val="sdtLocked"/>
          </w:sdtPr>
          <w:sdtEndPr/>
          <w:sdtContent>
            <w:bookmarkStart w:id="0" w:name="_GoBack" w:displacedByCustomXml="prev"/>
            <w:p w:rsidR="00CB7EA8" w:rsidRDefault="00CB7EA8" w:rsidP="00CB7EA8">
              <w:pPr>
                <w:tabs>
                  <w:tab w:val="left" w:pos="6237"/>
                </w:tabs>
              </w:pPr>
            </w:p>
            <w:p w:rsidR="00CB7EA8" w:rsidRDefault="00CB7EA8" w:rsidP="00CB7EA8">
              <w:pPr>
                <w:tabs>
                  <w:tab w:val="left" w:pos="6237"/>
                </w:tabs>
              </w:pPr>
            </w:p>
            <w:p w:rsidR="00CB7EA8" w:rsidRDefault="00CB7EA8" w:rsidP="00CB7EA8">
              <w:pPr>
                <w:tabs>
                  <w:tab w:val="left" w:pos="6237"/>
                </w:tabs>
              </w:pPr>
            </w:p>
            <w:p w:rsidR="006060A9" w:rsidRDefault="00CB7EA8" w:rsidP="00CB7EA8">
              <w:pPr>
                <w:tabs>
                  <w:tab w:val="left" w:pos="6237"/>
                </w:tabs>
                <w:rPr>
                  <w:lang w:eastAsia="lt-LT"/>
                </w:rPr>
              </w:pPr>
              <w:r>
                <w:rPr>
                  <w:lang w:eastAsia="lt-LT"/>
                </w:rPr>
                <w:t>Finansų ministras,</w:t>
              </w:r>
            </w:p>
            <w:p w:rsidR="006060A9" w:rsidRDefault="00CB7EA8" w:rsidP="00CB7EA8">
              <w:pPr>
                <w:tabs>
                  <w:tab w:val="left" w:pos="6663"/>
                </w:tabs>
                <w:rPr>
                  <w:lang w:eastAsia="lt-LT"/>
                </w:rPr>
              </w:pPr>
              <w:r>
                <w:rPr>
                  <w:lang w:eastAsia="lt-LT"/>
                </w:rPr>
                <w:t>pavaduojantis Ministrą Pir</w:t>
              </w:r>
              <w:r>
                <w:rPr>
                  <w:lang w:eastAsia="lt-LT"/>
                </w:rPr>
                <w:t>mininką</w:t>
              </w:r>
              <w:r>
                <w:rPr>
                  <w:lang w:eastAsia="lt-LT"/>
                </w:rPr>
                <w:tab/>
                <w:t xml:space="preserve">Rimantas </w:t>
              </w:r>
              <w:proofErr w:type="spellStart"/>
              <w:r>
                <w:rPr>
                  <w:lang w:eastAsia="lt-LT"/>
                </w:rPr>
                <w:t>Šadžius</w:t>
              </w:r>
              <w:proofErr w:type="spellEnd"/>
            </w:p>
            <w:p w:rsidR="006060A9" w:rsidRDefault="006060A9" w:rsidP="00CB7EA8">
              <w:pPr>
                <w:rPr>
                  <w:lang w:eastAsia="lt-LT"/>
                </w:rPr>
              </w:pPr>
            </w:p>
            <w:p w:rsidR="006060A9" w:rsidRDefault="006060A9" w:rsidP="00CB7EA8">
              <w:pPr>
                <w:rPr>
                  <w:lang w:eastAsia="lt-LT"/>
                </w:rPr>
              </w:pPr>
            </w:p>
            <w:p w:rsidR="006060A9" w:rsidRDefault="006060A9" w:rsidP="00CB7EA8">
              <w:pPr>
                <w:rPr>
                  <w:lang w:eastAsia="lt-LT"/>
                </w:rPr>
              </w:pPr>
            </w:p>
            <w:p w:rsidR="006060A9" w:rsidRDefault="00CB7EA8" w:rsidP="00CB7EA8">
              <w:pPr>
                <w:tabs>
                  <w:tab w:val="center" w:pos="-7800"/>
                  <w:tab w:val="left" w:pos="6663"/>
                  <w:tab w:val="right" w:pos="8306"/>
                </w:tabs>
                <w:rPr>
                  <w:lang w:eastAsia="lt-LT"/>
                </w:rPr>
              </w:pPr>
              <w:r>
                <w:rPr>
                  <w:lang w:eastAsia="lt-LT"/>
                </w:rPr>
                <w:t>Aplinkos ministras</w:t>
              </w:r>
              <w:r>
                <w:rPr>
                  <w:lang w:eastAsia="lt-LT"/>
                </w:rPr>
                <w:tab/>
                <w:t xml:space="preserve">Povilas </w:t>
              </w:r>
              <w:proofErr w:type="spellStart"/>
              <w:r>
                <w:rPr>
                  <w:lang w:eastAsia="lt-LT"/>
                </w:rPr>
                <w:t>Poderskis</w:t>
              </w:r>
              <w:proofErr w:type="spellEnd"/>
            </w:p>
            <w:p w:rsidR="006060A9" w:rsidRDefault="00CB7EA8" w:rsidP="00CB7EA8">
              <w:pPr>
                <w:rPr>
                  <w:lang w:eastAsia="lt-LT"/>
                </w:rPr>
              </w:pPr>
            </w:p>
            <w:bookmarkEnd w:id="0" w:displacedByCustomXml="next"/>
          </w:sdtContent>
        </w:sdt>
      </w:sdtContent>
    </w:sdt>
    <w:sectPr w:rsidR="006060A9" w:rsidSect="00CB7EA8">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709" w:footer="709"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60A9" w:rsidRDefault="00CB7EA8">
      <w:pPr>
        <w:rPr>
          <w:lang w:eastAsia="lt-LT"/>
        </w:rPr>
      </w:pPr>
      <w:r>
        <w:rPr>
          <w:lang w:eastAsia="lt-LT"/>
        </w:rPr>
        <w:separator/>
      </w:r>
    </w:p>
  </w:endnote>
  <w:endnote w:type="continuationSeparator" w:id="0">
    <w:p w:rsidR="006060A9" w:rsidRDefault="00CB7EA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60A9" w:rsidRDefault="006060A9">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60A9" w:rsidRDefault="006060A9">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60A9" w:rsidRDefault="006060A9">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60A9" w:rsidRDefault="00CB7EA8">
      <w:pPr>
        <w:rPr>
          <w:lang w:eastAsia="lt-LT"/>
        </w:rPr>
      </w:pPr>
      <w:r>
        <w:rPr>
          <w:lang w:eastAsia="lt-LT"/>
        </w:rPr>
        <w:separator/>
      </w:r>
    </w:p>
  </w:footnote>
  <w:footnote w:type="continuationSeparator" w:id="0">
    <w:p w:rsidR="006060A9" w:rsidRDefault="00CB7EA8">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60A9" w:rsidRDefault="00CB7EA8">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6060A9" w:rsidRDefault="006060A9">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565342"/>
      <w:docPartObj>
        <w:docPartGallery w:val="Page Numbers (Top of Page)"/>
        <w:docPartUnique/>
      </w:docPartObj>
    </w:sdtPr>
    <w:sdtEndPr>
      <w:rPr>
        <w:rFonts w:ascii="Times New Roman" w:hAnsi="Times New Roman"/>
      </w:rPr>
    </w:sdtEndPr>
    <w:sdtContent>
      <w:p w:rsidR="006060A9" w:rsidRPr="00CB7EA8" w:rsidRDefault="00CB7EA8" w:rsidP="00CB7EA8">
        <w:pPr>
          <w:pStyle w:val="Antrats"/>
          <w:jc w:val="center"/>
          <w:rPr>
            <w:rFonts w:ascii="Times New Roman" w:hAnsi="Times New Roman"/>
          </w:rPr>
        </w:pPr>
        <w:r w:rsidRPr="00CB7EA8">
          <w:rPr>
            <w:rFonts w:ascii="Times New Roman" w:hAnsi="Times New Roman"/>
          </w:rPr>
          <w:fldChar w:fldCharType="begin"/>
        </w:r>
        <w:r w:rsidRPr="00CB7EA8">
          <w:rPr>
            <w:rFonts w:ascii="Times New Roman" w:hAnsi="Times New Roman"/>
          </w:rPr>
          <w:instrText>PAGE   \* MERGEFORMAT</w:instrText>
        </w:r>
        <w:r w:rsidRPr="00CB7EA8">
          <w:rPr>
            <w:rFonts w:ascii="Times New Roman" w:hAnsi="Times New Roman"/>
          </w:rPr>
          <w:fldChar w:fldCharType="separate"/>
        </w:r>
        <w:r>
          <w:rPr>
            <w:rFonts w:ascii="Times New Roman" w:hAnsi="Times New Roman"/>
            <w:noProof/>
          </w:rPr>
          <w:t>2</w:t>
        </w:r>
        <w:r w:rsidRPr="00CB7EA8">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60A9" w:rsidRDefault="006060A9">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6060A9"/>
    <w:rsid w:val="00CB7E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5E0758F"/>
  <w15:docId w15:val="{DA7D6EC7-070F-4C91-AC1B-2BBE32C5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B7EA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B7EA8"/>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42020738">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ee62df4d0cd48678c77f035f587021e" PartId="407018b4802842fcbd91038abb03a4e5">
    <Part Type="preambule" DocPartId="75f5a23f1eea4f7b94d6aa5de6c85753" PartId="e46812300f3d483297533aaca5f16032"/>
    <Part Type="pastraipa" DocPartId="617ab3a996bb4b67ab76c90691e9aea6" PartId="eb4e498cb5a044ecac4afa64ee56efce"/>
    <Part Type="punktas" Nr="1" Abbr="1 p." DocPartId="f1643e2a86494e8caaa953aa26ec5dad" PartId="a9aace69718e4e3780bbc49674055084"/>
    <Part Type="punktas" Nr="2" Abbr="2 p." DocPartId="e36a6d4ae0ff4a778f59651d6982bd23" PartId="4c35b0c1e0c540099a192d9d22227088"/>
    <Part Type="punktas" Nr="3" Abbr="3 p." DocPartId="dece963d5524499ebbec187a0f261cdf" PartId="dc04eb77acce4ce9872115a0959db8dd"/>
    <Part Type="signatura" DocPartId="f1d2d7b8a69e4c76a81fcce99f791560" PartId="46dbf0cc4502409d9d4c5ce175fe375e"/>
  </Part>
</Parts>
</file>

<file path=customXml/itemProps1.xml><?xml version="1.0" encoding="utf-8"?>
<ds:datastoreItem xmlns:ds="http://schemas.openxmlformats.org/officeDocument/2006/customXml" ds:itemID="{E53A4AE1-1106-415C-B043-883DF829696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551</Words>
  <Characters>3801</Characters>
  <Application>Microsoft Office Word</Application>
  <DocSecurity>0</DocSecurity>
  <Lines>31</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4344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JŪRĖNIENĖ Jolanta</cp:lastModifiedBy>
  <cp:revision>3</cp:revision>
  <cp:lastPrinted>2019-09-30T12:12:00Z</cp:lastPrinted>
  <dcterms:created xsi:type="dcterms:W3CDTF">2025-07-31T10:09:00Z</dcterms:created>
  <dcterms:modified xsi:type="dcterms:W3CDTF">2025-07-31T13:24:00Z</dcterms:modified>
</cp:coreProperties>
</file>