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7EDF7DAF" wp14:editId="5EE58DC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AZARTINIŲ LOŠIMŲ ĮSTATYMO NR. IX-325 10, 20</w:t>
      </w:r>
      <w:r>
        <w:rPr>
          <w:b/>
          <w:caps/>
          <w:vertAlign w:val="superscript"/>
        </w:rPr>
        <w:t>6</w:t>
      </w:r>
      <w:r>
        <w:rPr>
          <w:b/>
          <w:caps/>
        </w:rPr>
        <w:t xml:space="preserve"> IR 28 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2016 m. birželio 30 d. Nr. XII-2588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709"/>
        </w:tabs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10 straipsnio pakeitimas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Papildyti 10 straipsnį 20 dalimi: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20</w:t>
      </w:r>
      <w:r>
        <w:rPr>
          <w:rFonts w:eastAsia="Calibri"/>
          <w:szCs w:val="24"/>
        </w:rPr>
        <w:t>. Kiekvienas asmuo turi teisę Priežiūros tarnybai arba lošimų organizatoriui pateikti prašymą neleisti jam lošti ir dalyvauti nuotoliniuose lošimuose (toliau – prašymas neleisti lošti). Prašyme neleisti lošti gali būti nurodomas asmens pasirinktas laikotarpis, per kurį jam neleidžiama lošti, kuris negali būti trumpesnis kaip 6 mėnesiai. Asmuo gali atsiimti pateiktą prašymą neleisti lošti arba sutrumpinti prašyme neleisti lošti nurodytą terminą, tačiau ne anksčiau kaip po 6 mėnesių nuo prašymo neleisti lošti pateikimo. Prašymų neleisti lošti pateikimo Priežiūros tarnybai arba lošimų organizatoriui tvarką nustato Priežiūros tarnyba.“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Papildyti 10 straipsnį 21 dalimi: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21</w:t>
      </w:r>
      <w:r>
        <w:rPr>
          <w:rFonts w:eastAsia="Calibri"/>
          <w:szCs w:val="24"/>
        </w:rPr>
        <w:t>. Asmenis, pateikusius prašymus neleisti lošti, draudžiama įleisti į lošimų organizavimo vietas ir leisti jiems dalyvauti nuotoliniuose lošimuose jų prašyme neleisti lošti nurodytą laikotarpį, o jeigu prašyme neleisti lošti laikotarpis nenurodytas, – 2 metus nuo prašymo neleisti lošti pateikimo Priežiūros tarnybai arba lošimų organizatoriui dienos. Taip pat draudžiama į lošimų organizavimo vietas įleisti asmenis, kurie teismo tvarka pagal Lietuvos Respublikos civilinio kodekso antrosios knygos I dalies I skyriaus III skirsnį pripažinti neveiksniais arba ribotai veiksniais šioje srityje ir leisti tokiems asmenims dalyvauti nuotoliniuose lošimuose. Šių reikalavimų vykdymą privalo užtikrinti lošimų organizatorius.“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20</w:t>
      </w:r>
      <w:r>
        <w:rPr>
          <w:rFonts w:eastAsia="Calibri"/>
          <w:b/>
          <w:szCs w:val="24"/>
          <w:vertAlign w:val="superscript"/>
        </w:rPr>
        <w:t>6</w:t>
      </w:r>
      <w:r>
        <w:rPr>
          <w:rFonts w:eastAsia="Calibri"/>
          <w:b/>
          <w:szCs w:val="24"/>
        </w:rPr>
        <w:t xml:space="preserve"> straipsnio pakeitimas 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Pripažinti netekusiu galios 20</w:t>
      </w:r>
      <w:r>
        <w:rPr>
          <w:rFonts w:eastAsia="Calibri"/>
          <w:szCs w:val="24"/>
          <w:vertAlign w:val="superscript"/>
        </w:rPr>
        <w:t>6</w:t>
      </w:r>
      <w:r>
        <w:rPr>
          <w:rFonts w:eastAsia="Calibri"/>
          <w:szCs w:val="24"/>
        </w:rPr>
        <w:t xml:space="preserve"> straipsnio 1 dalies 4 punktą.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</w:p>
    <w:p>
      <w:pPr>
        <w:tabs>
          <w:tab w:val="left" w:pos="709"/>
        </w:tabs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3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 xml:space="preserve">28 straipsnio pakeitimas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Papildyti 28 straipsnį 8 punktu: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8</w:t>
      </w:r>
      <w:r>
        <w:rPr>
          <w:rFonts w:eastAsia="Calibri"/>
          <w:szCs w:val="24"/>
        </w:rPr>
        <w:t>) tvarko asmenų, pateikusių prašymus neleisti lošti, duomenis, taip pat ir ypatingus asmens duomenis (apie asmenų neveiksnumą arba ribotą veiksnumą šioje srityje).“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</w:p>
    <w:p>
      <w:pPr>
        <w:tabs>
          <w:tab w:val="left" w:pos="709"/>
        </w:tabs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4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Įstatymo įsigaliojimas ir įgyvendinimas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. Šis įstatymas, išskyrus šio straipsnio 2 dalį, įsigalioja 2017 m. gegužės 1 d. 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Lietuvos Respublikos Vyriausybė ar jos įgaliota institucija iki 2017 m. balandžio 30 d. priima šio įstatymo įgyvendinamuosius teisės aktus.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2151</Characters>
  <Application>Microsoft Office Word</Application>
  <DocSecurity>4</DocSecurity>
  <Lines>52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2453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2016-07-13T13:05:00Z</dcterms:created>
  <dc:creator>MANIUŠKIENĖ Violeta</dc:creator>
  <lastModifiedBy>Adlib User</lastModifiedBy>
  <lastPrinted>2004-12-10T05:45:00Z</lastPrinted>
  <dcterms:modified xsi:type="dcterms:W3CDTF">2016-07-13T13:05:00Z</dcterms:modified>
  <revision>2</revision>
</coreProperties>
</file>