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A0FA" w14:textId="77777777" w:rsidR="004E40E6" w:rsidRDefault="004E40E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77FA0FB" w14:textId="77777777" w:rsidR="004E40E6" w:rsidRDefault="007C528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77FA112" wp14:editId="577FA11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A0FC" w14:textId="77777777" w:rsidR="004E40E6" w:rsidRDefault="004E40E6">
      <w:pPr>
        <w:jc w:val="center"/>
        <w:rPr>
          <w:caps/>
          <w:sz w:val="12"/>
          <w:szCs w:val="12"/>
        </w:rPr>
      </w:pPr>
    </w:p>
    <w:p w14:paraId="577FA0FD" w14:textId="77777777" w:rsidR="004E40E6" w:rsidRDefault="007C528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77FA0FE" w14:textId="77777777" w:rsidR="004E40E6" w:rsidRDefault="007C5284">
      <w:pPr>
        <w:jc w:val="center"/>
        <w:rPr>
          <w:b/>
          <w:caps/>
        </w:rPr>
      </w:pPr>
      <w:r>
        <w:rPr>
          <w:b/>
          <w:caps/>
        </w:rPr>
        <w:t>SOCIALINIŲ ĮMONIŲ ĮSTATYMO NR. IX-2251 PAKEITIMO ĮSTATYMO</w:t>
      </w:r>
      <w:r>
        <w:rPr>
          <w:b/>
          <w:caps/>
        </w:rPr>
        <w:br/>
        <w:t>NR. XIII-2427 1 STRAIPSNIO PAKEITIMO</w:t>
      </w:r>
    </w:p>
    <w:p w14:paraId="577FA0FF" w14:textId="77777777" w:rsidR="004E40E6" w:rsidRDefault="007C5284">
      <w:pPr>
        <w:jc w:val="center"/>
        <w:rPr>
          <w:caps/>
        </w:rPr>
      </w:pPr>
      <w:r>
        <w:rPr>
          <w:b/>
          <w:caps/>
        </w:rPr>
        <w:t>ĮSTATYMAS</w:t>
      </w:r>
    </w:p>
    <w:p w14:paraId="577FA100" w14:textId="77777777" w:rsidR="004E40E6" w:rsidRDefault="004E40E6">
      <w:pPr>
        <w:jc w:val="center"/>
        <w:rPr>
          <w:b/>
          <w:caps/>
        </w:rPr>
      </w:pPr>
    </w:p>
    <w:p w14:paraId="577FA101" w14:textId="77777777" w:rsidR="004E40E6" w:rsidRDefault="007C5284"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gruodžio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XIII-2613</w:t>
      </w:r>
    </w:p>
    <w:p w14:paraId="577FA102" w14:textId="77777777" w:rsidR="004E40E6" w:rsidRDefault="007C5284">
      <w:pPr>
        <w:jc w:val="center"/>
        <w:rPr>
          <w:szCs w:val="24"/>
        </w:rPr>
      </w:pPr>
      <w:r>
        <w:rPr>
          <w:szCs w:val="24"/>
        </w:rPr>
        <w:t>Vilnius</w:t>
      </w:r>
    </w:p>
    <w:p w14:paraId="577FA103" w14:textId="77777777" w:rsidR="004E40E6" w:rsidRDefault="004E40E6">
      <w:pPr>
        <w:jc w:val="center"/>
        <w:rPr>
          <w:sz w:val="22"/>
        </w:rPr>
      </w:pPr>
    </w:p>
    <w:p w14:paraId="577FA104" w14:textId="77777777" w:rsidR="004E40E6" w:rsidRDefault="004E40E6">
      <w:pPr>
        <w:spacing w:line="360" w:lineRule="auto"/>
        <w:ind w:firstLine="720"/>
        <w:jc w:val="both"/>
        <w:rPr>
          <w:sz w:val="16"/>
          <w:szCs w:val="16"/>
        </w:rPr>
      </w:pPr>
    </w:p>
    <w:p w14:paraId="577FA105" w14:textId="77777777" w:rsidR="004E40E6" w:rsidRDefault="004E40E6">
      <w:pPr>
        <w:spacing w:line="360" w:lineRule="auto"/>
        <w:ind w:firstLine="720"/>
        <w:jc w:val="both"/>
        <w:sectPr w:rsidR="004E40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577FA106" w14:textId="77777777" w:rsidR="004E40E6" w:rsidRDefault="004E40E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77FA107" w14:textId="77777777" w:rsidR="004E40E6" w:rsidRDefault="007C5284">
      <w:pPr>
        <w:shd w:val="clear" w:color="auto" w:fill="FFFFFF"/>
        <w:spacing w:line="360" w:lineRule="auto"/>
        <w:ind w:left="2127" w:hanging="1407"/>
        <w:jc w:val="both"/>
        <w:rPr>
          <w:rFonts w:ascii="TimesLT" w:hAnsi="TimesLT"/>
          <w:b/>
          <w:color w:val="000000"/>
          <w:szCs w:val="24"/>
          <w:lang w:eastAsia="en-GB"/>
        </w:rPr>
      </w:pPr>
      <w:r>
        <w:rPr>
          <w:b/>
          <w:bCs/>
          <w:color w:val="000000"/>
          <w:szCs w:val="24"/>
          <w:lang w:eastAsia="en-GB"/>
        </w:rPr>
        <w:t>1</w:t>
      </w:r>
      <w:r>
        <w:rPr>
          <w:b/>
          <w:bCs/>
          <w:color w:val="000000"/>
          <w:szCs w:val="24"/>
          <w:lang w:eastAsia="en-GB"/>
        </w:rPr>
        <w:t xml:space="preserve"> straipsnis. </w:t>
      </w:r>
      <w:r>
        <w:rPr>
          <w:b/>
          <w:bCs/>
          <w:color w:val="000000"/>
          <w:szCs w:val="24"/>
          <w:lang w:eastAsia="en-GB"/>
        </w:rPr>
        <w:t xml:space="preserve">1 straipsnio 2 dalyje išdėstyto Lietuvos Respublikos socialinių įmonių įstatymo papildymas </w:t>
      </w:r>
      <w:r>
        <w:rPr>
          <w:b/>
          <w:szCs w:val="24"/>
        </w:rPr>
        <w:t>30</w:t>
      </w:r>
      <w:r>
        <w:rPr>
          <w:b/>
          <w:bCs/>
          <w:color w:val="000000"/>
          <w:szCs w:val="24"/>
          <w:lang w:eastAsia="en-GB"/>
        </w:rPr>
        <w:t xml:space="preserve"> straipsniu </w:t>
      </w:r>
    </w:p>
    <w:p w14:paraId="577FA108" w14:textId="77777777" w:rsidR="004E40E6" w:rsidRDefault="007C5284">
      <w:pPr>
        <w:shd w:val="clear" w:color="auto" w:fill="FFFFFF"/>
        <w:spacing w:line="360" w:lineRule="auto"/>
        <w:ind w:firstLine="720"/>
        <w:jc w:val="both"/>
        <w:rPr>
          <w:rFonts w:ascii="TimesLT" w:hAnsi="TimesLT"/>
          <w:b/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Papildyti </w:t>
      </w:r>
      <w:r>
        <w:rPr>
          <w:bCs/>
          <w:color w:val="000000"/>
          <w:szCs w:val="24"/>
          <w:lang w:eastAsia="en-GB"/>
        </w:rPr>
        <w:t xml:space="preserve">1 straipsnio 2 dalyje išdėstytą Lietuvos Respublikos socialinių įmonių įstatymą </w:t>
      </w:r>
      <w:r>
        <w:rPr>
          <w:szCs w:val="24"/>
        </w:rPr>
        <w:t>30 </w:t>
      </w:r>
      <w:r>
        <w:rPr>
          <w:szCs w:val="24"/>
          <w:lang w:eastAsia="lt-LT"/>
        </w:rPr>
        <w:t>straipsniu</w:t>
      </w:r>
      <w:r>
        <w:rPr>
          <w:color w:val="000000"/>
          <w:szCs w:val="24"/>
          <w:lang w:eastAsia="en-GB"/>
        </w:rPr>
        <w:t>:</w:t>
      </w:r>
    </w:p>
    <w:p w14:paraId="577FA109" w14:textId="77777777" w:rsidR="004E40E6" w:rsidRDefault="007C5284">
      <w:pPr>
        <w:shd w:val="clear" w:color="auto" w:fill="FFFFFF"/>
        <w:spacing w:line="360" w:lineRule="auto"/>
        <w:ind w:firstLine="720"/>
        <w:jc w:val="both"/>
        <w:rPr>
          <w:b/>
          <w:color w:val="000000"/>
          <w:szCs w:val="24"/>
          <w:lang w:eastAsia="en-GB"/>
        </w:rPr>
      </w:pPr>
      <w:r>
        <w:rPr>
          <w:rFonts w:eastAsia="Calibri"/>
        </w:rPr>
        <w:t>„</w:t>
      </w:r>
      <w:r>
        <w:rPr>
          <w:rFonts w:eastAsia="Calibri"/>
          <w:b/>
        </w:rPr>
        <w:t>30</w:t>
      </w:r>
      <w:r>
        <w:rPr>
          <w:rFonts w:eastAsia="Calibri"/>
          <w:b/>
        </w:rPr>
        <w:t xml:space="preserve"> straipsnis. </w:t>
      </w:r>
      <w:r>
        <w:rPr>
          <w:rFonts w:eastAsia="Calibri"/>
          <w:b/>
          <w:szCs w:val="24"/>
        </w:rPr>
        <w:t xml:space="preserve">Įstatyme nustatyto teisinio reguliavimo </w:t>
      </w:r>
      <w:proofErr w:type="spellStart"/>
      <w:r>
        <w:rPr>
          <w:rFonts w:eastAsia="Calibri"/>
          <w:b/>
        </w:rPr>
        <w:t>stebėsena</w:t>
      </w:r>
      <w:proofErr w:type="spellEnd"/>
      <w:r>
        <w:rPr>
          <w:rFonts w:eastAsia="Calibri"/>
          <w:b/>
        </w:rPr>
        <w:t xml:space="preserve"> </w:t>
      </w:r>
    </w:p>
    <w:p w14:paraId="577FA10A" w14:textId="77777777" w:rsidR="004E40E6" w:rsidRDefault="007C5284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Šiame įstatyme nustatyto teisinio reguliavimo poveikio </w:t>
      </w:r>
      <w:proofErr w:type="spellStart"/>
      <w:r>
        <w:rPr>
          <w:i/>
          <w:color w:val="000000"/>
          <w:szCs w:val="24"/>
        </w:rPr>
        <w:t>ex</w:t>
      </w:r>
      <w:proofErr w:type="spellEnd"/>
      <w:r>
        <w:rPr>
          <w:i/>
          <w:color w:val="000000"/>
          <w:szCs w:val="24"/>
        </w:rPr>
        <w:t xml:space="preserve"> </w:t>
      </w:r>
      <w:proofErr w:type="spellStart"/>
      <w:r>
        <w:rPr>
          <w:i/>
          <w:color w:val="000000"/>
          <w:szCs w:val="24"/>
        </w:rPr>
        <w:t>post</w:t>
      </w:r>
      <w:proofErr w:type="spellEnd"/>
      <w:r>
        <w:rPr>
          <w:color w:val="000000"/>
          <w:szCs w:val="24"/>
        </w:rPr>
        <w:t xml:space="preserve"> vertinimas atliekamas </w:t>
      </w:r>
      <w:r>
        <w:rPr>
          <w:color w:val="000000"/>
          <w:szCs w:val="24"/>
        </w:rPr>
        <w:t xml:space="preserve">iki 2022 m. lapkričio 1 d. už laikotarpį nuo 2020 m. liepos 1 d. iki 2022 m. birželio 30 d. Šio vertinimo ataskaitoje </w:t>
      </w:r>
      <w:r>
        <w:rPr>
          <w:color w:val="000000"/>
          <w:szCs w:val="24"/>
          <w:lang w:eastAsia="lt-LT"/>
        </w:rPr>
        <w:t xml:space="preserve">nurodomos teigiamos ir neigiamos šiame </w:t>
      </w:r>
      <w:r>
        <w:rPr>
          <w:color w:val="000000"/>
          <w:szCs w:val="24"/>
        </w:rPr>
        <w:t xml:space="preserve">įstatyme nustatyto teisinio reguliavimo </w:t>
      </w:r>
      <w:r>
        <w:rPr>
          <w:color w:val="000000"/>
          <w:szCs w:val="24"/>
          <w:lang w:eastAsia="lt-LT"/>
        </w:rPr>
        <w:t>pasekmės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eastAsia="lt-LT"/>
        </w:rPr>
        <w:t>ir pasiūlymai dėl jo tobulinimo.</w:t>
      </w:r>
    </w:p>
    <w:p w14:paraId="577FA10B" w14:textId="77777777" w:rsidR="004E40E6" w:rsidRDefault="007C528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Vyriausybės įgaliota institucija </w:t>
      </w:r>
      <w:r>
        <w:rPr>
          <w:szCs w:val="24"/>
        </w:rPr>
        <w:t xml:space="preserve">iki 2021 m. ir kiekvienų vėlesnių metų liepos 1 dienos pateikia Lietuvos Respublikos Vyriausybei ir Lietuvos Respublikos Seimui ataskaitą apie praėjusiais kalendoriniais metais (o teikiant pirmą kartą – už laikotarpį </w:t>
      </w:r>
      <w:r>
        <w:rPr>
          <w:color w:val="000000"/>
          <w:szCs w:val="24"/>
        </w:rPr>
        <w:t xml:space="preserve">nuo </w:t>
      </w:r>
      <w:r>
        <w:rPr>
          <w:color w:val="000000"/>
          <w:szCs w:val="24"/>
        </w:rPr>
        <w:t xml:space="preserve">2020 m. liepos 1 d. iki 2020 m. gruodžio 31 d.) </w:t>
      </w:r>
      <w:r>
        <w:rPr>
          <w:color w:val="000000"/>
          <w:szCs w:val="24"/>
          <w:lang w:eastAsia="lt-LT"/>
        </w:rPr>
        <w:t xml:space="preserve">socialinėse įmonėse dirbančių neįgaliųjų skaičių, iš viso ir pagal </w:t>
      </w:r>
      <w:proofErr w:type="spellStart"/>
      <w:r>
        <w:rPr>
          <w:color w:val="000000"/>
          <w:szCs w:val="24"/>
          <w:lang w:eastAsia="lt-LT"/>
        </w:rPr>
        <w:t>neįgalumo</w:t>
      </w:r>
      <w:proofErr w:type="spellEnd"/>
      <w:r>
        <w:rPr>
          <w:color w:val="000000"/>
          <w:szCs w:val="24"/>
          <w:lang w:eastAsia="lt-LT"/>
        </w:rPr>
        <w:t xml:space="preserve"> ar darbingumo lygį, ir jų dalį iš visų socialinių įmonių darbuotojų, taip pat pokytį per šioje dalyje nurodytą laikotarpį; socialin</w:t>
      </w:r>
      <w:r>
        <w:rPr>
          <w:color w:val="000000"/>
          <w:szCs w:val="24"/>
          <w:lang w:eastAsia="lt-LT"/>
        </w:rPr>
        <w:t>ėse įmonėse dirbančių ir dirbusių neįgaliųjų užimtumą pasibaigus valstybės pagalbos jų užimtumui skatinti mokėjimo laikotarpiui ir pokytį per šioje dalyje nurodytą laikotarpį; suteiktą valstybės pagalbą socialinėms įmonėms, iš viso ir pagal rūšis, taip pat</w:t>
      </w:r>
      <w:r>
        <w:rPr>
          <w:color w:val="000000"/>
          <w:szCs w:val="24"/>
          <w:lang w:eastAsia="lt-LT"/>
        </w:rPr>
        <w:t xml:space="preserve"> pokytį per šioje dalyje nurodytą laikotarpį; pelno panaudojimą socialinių įmonių veiklos tikslams, susijusiems su socialinėse įmonėse įdarbinamų asmenų tikslinių grupių grįžimo į darbo rinką ir jų socialinės integracijos skatinimu bei socialinės atskirtie</w:t>
      </w:r>
      <w:r>
        <w:rPr>
          <w:color w:val="000000"/>
          <w:szCs w:val="24"/>
          <w:lang w:eastAsia="lt-LT"/>
        </w:rPr>
        <w:t>s mažinimu.“</w:t>
      </w:r>
    </w:p>
    <w:p w14:paraId="577FA10C" w14:textId="77777777" w:rsidR="004E40E6" w:rsidRDefault="007C5284">
      <w:pPr>
        <w:spacing w:line="360" w:lineRule="auto"/>
        <w:ind w:firstLine="720"/>
        <w:jc w:val="both"/>
        <w:rPr>
          <w:i/>
          <w:szCs w:val="24"/>
        </w:rPr>
      </w:pPr>
    </w:p>
    <w:p w14:paraId="577FA10D" w14:textId="77777777" w:rsidR="004E40E6" w:rsidRDefault="007C528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77FA10E" w14:textId="77777777" w:rsidR="004E40E6" w:rsidRDefault="004E40E6">
      <w:pPr>
        <w:spacing w:line="360" w:lineRule="auto"/>
        <w:rPr>
          <w:i/>
          <w:szCs w:val="24"/>
        </w:rPr>
      </w:pPr>
    </w:p>
    <w:p w14:paraId="577FA110" w14:textId="77777777" w:rsidR="004E40E6" w:rsidRDefault="004E40E6">
      <w:pPr>
        <w:spacing w:line="360" w:lineRule="auto"/>
      </w:pPr>
      <w:bookmarkStart w:id="0" w:name="_GoBack"/>
      <w:bookmarkEnd w:id="0"/>
    </w:p>
    <w:p w14:paraId="577FA111" w14:textId="77777777" w:rsidR="004E40E6" w:rsidRDefault="007C5284">
      <w:pPr>
        <w:tabs>
          <w:tab w:val="right" w:pos="9356"/>
        </w:tabs>
      </w:pPr>
      <w:proofErr w:type="spellStart"/>
      <w:r>
        <w:rPr>
          <w:lang w:val="en-US"/>
        </w:rPr>
        <w:t>Respublikos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4E40E6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FA116" w14:textId="77777777" w:rsidR="004E40E6" w:rsidRDefault="007C52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77FA117" w14:textId="77777777" w:rsidR="004E40E6" w:rsidRDefault="007C52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A11C" w14:textId="77777777" w:rsidR="004E40E6" w:rsidRDefault="007C528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77FA11D" w14:textId="77777777" w:rsidR="004E40E6" w:rsidRDefault="004E40E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A11E" w14:textId="77777777" w:rsidR="004E40E6" w:rsidRDefault="007C528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577FA11F" w14:textId="77777777" w:rsidR="004E40E6" w:rsidRDefault="004E40E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A121" w14:textId="77777777" w:rsidR="004E40E6" w:rsidRDefault="004E40E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FA114" w14:textId="77777777" w:rsidR="004E40E6" w:rsidRDefault="007C52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77FA115" w14:textId="77777777" w:rsidR="004E40E6" w:rsidRDefault="007C52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A118" w14:textId="77777777" w:rsidR="004E40E6" w:rsidRDefault="007C528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77FA119" w14:textId="77777777" w:rsidR="004E40E6" w:rsidRDefault="004E40E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A11A" w14:textId="77777777" w:rsidR="004E40E6" w:rsidRDefault="007C528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77FA11B" w14:textId="77777777" w:rsidR="004E40E6" w:rsidRDefault="004E40E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A120" w14:textId="77777777" w:rsidR="004E40E6" w:rsidRDefault="004E40E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C5"/>
    <w:rsid w:val="004E40E6"/>
    <w:rsid w:val="007C5284"/>
    <w:rsid w:val="00B5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FA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1960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2019-12-19T11:10:00Z</dcterms:created>
  <dc:creator>MOZERIENĖ Dainora</dc:creator>
  <lastModifiedBy>GUMBYTĖ Danguolė</lastModifiedBy>
  <lastPrinted>2004-12-10T05:45:00Z</lastPrinted>
  <dcterms:modified xsi:type="dcterms:W3CDTF">2019-12-19T12:04:00Z</dcterms:modified>
  <revision>3</revision>
</coreProperties>
</file>