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588425f7ee0442098d8d1c93aad8987"/>
        <w:id w:val="1325864288"/>
        <w:lock w:val="sdtLocked"/>
      </w:sdtPr>
      <w:sdtEndPr/>
      <w:sdtContent>
        <w:p w14:paraId="18B05D7E" w14:textId="6AB45E0D" w:rsidR="0033454E" w:rsidRDefault="00601180" w:rsidP="00601180">
          <w:pPr>
            <w:tabs>
              <w:tab w:val="center" w:pos="4819"/>
              <w:tab w:val="right" w:pos="9638"/>
            </w:tabs>
            <w:jc w:val="center"/>
            <w:rPr>
              <w:b/>
              <w:szCs w:val="22"/>
            </w:rPr>
          </w:pPr>
          <w:r>
            <w:rPr>
              <w:b/>
              <w:noProof/>
              <w:szCs w:val="22"/>
              <w:lang w:eastAsia="lt-LT"/>
            </w:rPr>
            <w:drawing>
              <wp:inline distT="0" distB="0" distL="0" distR="0" wp14:anchorId="6717FC66" wp14:editId="351ED66B">
                <wp:extent cx="542290" cy="59753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40FF77BA" w14:textId="77777777" w:rsidR="0033454E" w:rsidRDefault="00601180" w:rsidP="00601180">
          <w:pPr>
            <w:jc w:val="center"/>
            <w:rPr>
              <w:b/>
              <w:szCs w:val="22"/>
            </w:rPr>
          </w:pPr>
          <w:r>
            <w:rPr>
              <w:b/>
              <w:szCs w:val="22"/>
            </w:rPr>
            <w:t>VALSTYBINĖ KAINŲ IR ENERGETIKOS KONTROLĖS KOMISIJA</w:t>
          </w:r>
        </w:p>
        <w:p w14:paraId="23A0E2F4" w14:textId="77777777" w:rsidR="0033454E" w:rsidRDefault="0033454E" w:rsidP="00601180">
          <w:pPr>
            <w:jc w:val="center"/>
            <w:rPr>
              <w:b/>
              <w:spacing w:val="60"/>
              <w:szCs w:val="22"/>
            </w:rPr>
          </w:pPr>
        </w:p>
        <w:p w14:paraId="6E2F6FF2" w14:textId="77777777" w:rsidR="0033454E" w:rsidRDefault="00601180" w:rsidP="00601180">
          <w:pPr>
            <w:jc w:val="center"/>
            <w:rPr>
              <w:b/>
              <w:szCs w:val="22"/>
            </w:rPr>
          </w:pPr>
          <w:r>
            <w:rPr>
              <w:b/>
              <w:szCs w:val="22"/>
            </w:rPr>
            <w:t>NUTARIMAS</w:t>
          </w:r>
        </w:p>
        <w:p w14:paraId="2CE697CB" w14:textId="77777777" w:rsidR="0033454E" w:rsidRDefault="00601180" w:rsidP="00601180">
          <w:pPr>
            <w:jc w:val="center"/>
            <w:rPr>
              <w:b/>
              <w:szCs w:val="24"/>
            </w:rPr>
          </w:pPr>
          <w:r>
            <w:rPr>
              <w:b/>
              <w:szCs w:val="24"/>
            </w:rPr>
            <w:t xml:space="preserve">DĖL VALSTYBINĖS KAINŲ IR ENERGETIKOS KONTROLĖS KOMISIJOS 2015 M. SAUSIO 15 D. NUTARIMO NR. O3-3 „DĖL </w:t>
          </w:r>
          <w:r>
            <w:rPr>
              <w:b/>
              <w:bCs/>
              <w:szCs w:val="24"/>
            </w:rPr>
            <w:t>ELEKTROS ENERGIJOS PERDAVIMO, SKIRSTYMO IR VISUOMENINIO TIEKIMO PASLAUGŲ BEI VISUOMENINĖS KAINOS VIRŠUTINĖS RIBOS NUSTATYMO METODIKOS PATVIRTINIMO“ PAKEITIMO</w:t>
          </w:r>
        </w:p>
        <w:p w14:paraId="255A0A69" w14:textId="77777777" w:rsidR="0033454E" w:rsidRDefault="0033454E" w:rsidP="00601180">
          <w:pPr>
            <w:jc w:val="center"/>
            <w:rPr>
              <w:b/>
              <w:szCs w:val="24"/>
            </w:rPr>
          </w:pPr>
        </w:p>
        <w:p w14:paraId="0A4E1273" w14:textId="19A7A6CA" w:rsidR="0033454E" w:rsidRDefault="00601180" w:rsidP="00601180">
          <w:pPr>
            <w:jc w:val="center"/>
            <w:rPr>
              <w:szCs w:val="22"/>
            </w:rPr>
          </w:pPr>
          <w:r>
            <w:rPr>
              <w:szCs w:val="22"/>
            </w:rPr>
            <w:t xml:space="preserve">2016 m. gegužės 13 d. Nr. O3-122 </w:t>
          </w:r>
        </w:p>
        <w:p w14:paraId="70267102" w14:textId="77777777" w:rsidR="0033454E" w:rsidRDefault="00601180" w:rsidP="00601180">
          <w:pPr>
            <w:jc w:val="center"/>
            <w:rPr>
              <w:szCs w:val="22"/>
            </w:rPr>
          </w:pPr>
          <w:r>
            <w:rPr>
              <w:szCs w:val="22"/>
            </w:rPr>
            <w:t>Vilnius</w:t>
          </w:r>
        </w:p>
        <w:p w14:paraId="0DCA5284" w14:textId="77777777" w:rsidR="0033454E" w:rsidRDefault="0033454E" w:rsidP="00601180">
          <w:pPr>
            <w:tabs>
              <w:tab w:val="left" w:pos="2160"/>
            </w:tabs>
            <w:rPr>
              <w:szCs w:val="22"/>
            </w:rPr>
          </w:pPr>
        </w:p>
        <w:p w14:paraId="4FB65B63" w14:textId="77777777" w:rsidR="00601180" w:rsidRDefault="00601180" w:rsidP="00601180">
          <w:pPr>
            <w:tabs>
              <w:tab w:val="left" w:pos="2160"/>
            </w:tabs>
            <w:rPr>
              <w:szCs w:val="22"/>
            </w:rPr>
          </w:pPr>
        </w:p>
        <w:sdt>
          <w:sdtPr>
            <w:alias w:val="preambule"/>
            <w:tag w:val="part_5882f52182744fc0963121fe636f3011"/>
            <w:id w:val="1048416715"/>
            <w:lock w:val="sdtLocked"/>
          </w:sdtPr>
          <w:sdtEndPr/>
          <w:sdtContent>
            <w:p w14:paraId="25CC3DF0" w14:textId="161A1534" w:rsidR="0033454E" w:rsidRDefault="00601180">
              <w:pPr>
                <w:spacing w:line="276" w:lineRule="auto"/>
                <w:ind w:firstLine="720"/>
                <w:contextualSpacing/>
                <w:jc w:val="both"/>
                <w:rPr>
                  <w:szCs w:val="22"/>
                </w:rPr>
              </w:pPr>
              <w:r>
                <w:rPr>
                  <w:szCs w:val="22"/>
                </w:rPr>
                <w:t xml:space="preserve">Vadovaudamasi Lietuvos Respublikos energetikos įstatymo 8 straipsnio 9 dalies 2 punktu, Lietuvos Respublikos elektros energetikos įstatymo 9 straipsnio 3 dalies 5 punktu ir atsižvelgdama į Valstybinės kainų ir energetikos kontrolės komisijos </w:t>
              </w:r>
              <w:r>
                <w:rPr>
                  <w:szCs w:val="24"/>
                </w:rPr>
                <w:t xml:space="preserve">(toliau – Komisija) </w:t>
              </w:r>
              <w:r>
                <w:rPr>
                  <w:szCs w:val="22"/>
                </w:rPr>
                <w:t>Dujų ir elektros departamento Elektros skyriaus 2016 m. gegužės 5 d. pažymą Nr.</w:t>
              </w:r>
              <w:r>
                <w:rPr>
                  <w:szCs w:val="24"/>
                </w:rPr>
                <w:t xml:space="preserve"> </w:t>
              </w:r>
              <w:r>
                <w:rPr>
                  <w:szCs w:val="22"/>
                </w:rPr>
                <w:t>O5-100 „</w:t>
              </w:r>
              <w:r>
                <w:rPr>
                  <w:szCs w:val="24"/>
                </w:rPr>
                <w:t>Dėl Valstybinės kainų ir energetikos kontrolės komisijos 2015 m. sausio 15 d. nutarimo Nr. O3-3 „Dėl Elektros energijos perdavimo, skirstymo ir visuomeninio tiekimo paslaugų bei visuomeninės kainos viršutinės ribos nustatymo metodikos patvirtinimo“ pakeitimo“</w:t>
              </w:r>
              <w:r>
                <w:rPr>
                  <w:szCs w:val="22"/>
                </w:rPr>
                <w:t xml:space="preserve">, Komisija </w:t>
              </w:r>
              <w:r>
                <w:rPr>
                  <w:spacing w:val="60"/>
                  <w:szCs w:val="22"/>
                </w:rPr>
                <w:t>nutari</w:t>
              </w:r>
              <w:r>
                <w:rPr>
                  <w:spacing w:val="40"/>
                  <w:szCs w:val="22"/>
                </w:rPr>
                <w:t>a:</w:t>
              </w:r>
            </w:p>
          </w:sdtContent>
        </w:sdt>
        <w:sdt>
          <w:sdtPr>
            <w:alias w:val="pastraipa"/>
            <w:tag w:val="part_a06f472d067d46a88a9844bc9607dc74"/>
            <w:id w:val="-1226525991"/>
            <w:lock w:val="sdtLocked"/>
          </w:sdtPr>
          <w:sdtEndPr/>
          <w:sdtContent>
            <w:p w14:paraId="2770EB91" w14:textId="13F5F687" w:rsidR="0033454E" w:rsidRDefault="00601180">
              <w:pPr>
                <w:spacing w:line="276" w:lineRule="auto"/>
                <w:ind w:firstLine="720"/>
                <w:contextualSpacing/>
                <w:jc w:val="both"/>
                <w:rPr>
                  <w:szCs w:val="22"/>
                </w:rPr>
              </w:pPr>
              <w:r>
                <w:rPr>
                  <w:szCs w:val="24"/>
                  <w:lang w:eastAsia="lt-LT"/>
                </w:rPr>
                <w:t xml:space="preserve">Pakeisti </w:t>
              </w:r>
              <w:r>
                <w:rPr>
                  <w:szCs w:val="24"/>
                </w:rPr>
                <w:t xml:space="preserve">Elektros energijos perdavimo, skirstymo ir visuomeninio tiekimo paslaugų bei visuomeninės kainos viršutinės ribos nustatymo metodikos, patvirtintos </w:t>
              </w:r>
              <w:r>
                <w:rPr>
                  <w:szCs w:val="24"/>
                  <w:lang w:eastAsia="lt-LT"/>
                </w:rPr>
                <w:t>Komisijos 2015 m. sausio 15 d. nutarimu Nr. O3-3 „</w:t>
              </w:r>
              <w:r>
                <w:rPr>
                  <w:szCs w:val="24"/>
                </w:rPr>
                <w:t xml:space="preserve">Dėl Elektros energijos perdavimo, skirstymo ir visuomeninio tiekimo paslaugų bei visuomeninės kainos viršutinės ribos nustatymo metodikos patvirtinimo“, 107 punktą </w:t>
              </w:r>
              <w:r>
                <w:rPr>
                  <w:szCs w:val="22"/>
                </w:rPr>
                <w:t>ir išdėstyti jį taip:</w:t>
              </w:r>
            </w:p>
            <w:sdt>
              <w:sdtPr>
                <w:alias w:val="citata"/>
                <w:tag w:val="part_677c2fc2999f46f5894fff043768ce34"/>
                <w:id w:val="1702283295"/>
                <w:lock w:val="sdtLocked"/>
              </w:sdtPr>
              <w:sdtEndPr/>
              <w:sdtContent>
                <w:sdt>
                  <w:sdtPr>
                    <w:alias w:val="107 p."/>
                    <w:tag w:val="part_8e149cf31abd4ee29c97dbece3a93053"/>
                    <w:id w:val="1490207963"/>
                    <w:lock w:val="sdtLocked"/>
                  </w:sdtPr>
                  <w:sdtEndPr/>
                  <w:sdtContent>
                    <w:p w14:paraId="3209E92D" w14:textId="77777777" w:rsidR="0033454E" w:rsidRDefault="00601180">
                      <w:pPr>
                        <w:spacing w:line="276" w:lineRule="auto"/>
                        <w:ind w:firstLine="720"/>
                        <w:contextualSpacing/>
                        <w:jc w:val="both"/>
                        <w:rPr>
                          <w:szCs w:val="22"/>
                        </w:rPr>
                      </w:pPr>
                      <w:r>
                        <w:rPr>
                          <w:szCs w:val="22"/>
                        </w:rPr>
                        <w:t>„</w:t>
                      </w:r>
                      <w:sdt>
                        <w:sdtPr>
                          <w:alias w:val="Numeris"/>
                          <w:tag w:val="nr_8e149cf31abd4ee29c97dbece3a93053"/>
                          <w:id w:val="1837881167"/>
                          <w:lock w:val="sdtLocked"/>
                        </w:sdtPr>
                        <w:sdtEndPr/>
                        <w:sdtContent>
                          <w:r>
                            <w:rPr>
                              <w:szCs w:val="22"/>
                            </w:rPr>
                            <w:t>107</w:t>
                          </w:r>
                        </w:sdtContent>
                      </w:sdt>
                      <w:r>
                        <w:rPr>
                          <w:szCs w:val="22"/>
                        </w:rPr>
                        <w:t>.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 Visuomeninių elektros energijos kainų viršutinės ribos papildomai įvertina reguliavimo svertus, pavyzdžiui, elektros energijos įsigijimo kainos pokytį, ir apskaičiuojamos pagal formulę:</w:t>
                      </w:r>
                    </w:p>
                    <w:p w14:paraId="41433279" w14:textId="77777777" w:rsidR="0033454E" w:rsidRDefault="0033454E">
                      <w:pPr>
                        <w:spacing w:line="276" w:lineRule="auto"/>
                        <w:ind w:firstLine="780"/>
                        <w:contextualSpacing/>
                        <w:jc w:val="both"/>
                        <w:rPr>
                          <w:szCs w:val="22"/>
                        </w:rPr>
                      </w:pPr>
                    </w:p>
                    <w:p w14:paraId="49F41E9A" w14:textId="77777777" w:rsidR="0033454E" w:rsidRDefault="00601180">
                      <w:pPr>
                        <w:spacing w:line="276" w:lineRule="auto"/>
                        <w:ind w:firstLine="720"/>
                        <w:contextualSpacing/>
                        <w:jc w:val="both"/>
                        <w:rPr>
                          <w:szCs w:val="22"/>
                        </w:rPr>
                      </w:pPr>
                      <w:r>
                        <w:rPr>
                          <w:noProof/>
                          <w:szCs w:val="22"/>
                          <w:lang w:eastAsia="lt-LT"/>
                        </w:rPr>
                        <w:drawing>
                          <wp:inline distT="0" distB="0" distL="0" distR="0" wp14:anchorId="6869199B" wp14:editId="23083EE1">
                            <wp:extent cx="3847465" cy="422910"/>
                            <wp:effectExtent l="0" t="0" r="635" b="15240"/>
                            <wp:docPr id="2" name="Picture 2" descr="http://www.infolex.lt/ta/PictureThumbnail.aspx?Id=48ec1d5f-4a84-4154-b09d-839992cba24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infolex.lt/ta/PictureThumbnail.aspx?Id=48ec1d5f-4a84-4154-b09d-839992cba24c"/>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3847465" cy="422910"/>
                                    </a:xfrm>
                                    <a:prstGeom prst="rect">
                                      <a:avLst/>
                                    </a:prstGeom>
                                    <a:noFill/>
                                    <a:ln>
                                      <a:noFill/>
                                    </a:ln>
                                  </pic:spPr>
                                </pic:pic>
                              </a:graphicData>
                            </a:graphic>
                          </wp:inline>
                        </w:drawing>
                      </w:r>
                      <w:r>
                        <w:rPr>
                          <w:szCs w:val="22"/>
                        </w:rPr>
                        <w:t>                                        (65)</w:t>
                      </w:r>
                    </w:p>
                    <w:p w14:paraId="3546E133" w14:textId="77777777" w:rsidR="0033454E" w:rsidRDefault="0033454E">
                      <w:pPr>
                        <w:spacing w:line="276" w:lineRule="auto"/>
                        <w:ind w:firstLine="780"/>
                        <w:contextualSpacing/>
                        <w:jc w:val="both"/>
                        <w:rPr>
                          <w:szCs w:val="22"/>
                        </w:rPr>
                      </w:pPr>
                    </w:p>
                    <w:p w14:paraId="7B3A208A" w14:textId="77777777" w:rsidR="0033454E" w:rsidRDefault="00601180">
                      <w:pPr>
                        <w:spacing w:line="276" w:lineRule="auto"/>
                        <w:ind w:firstLine="720"/>
                        <w:contextualSpacing/>
                        <w:jc w:val="both"/>
                        <w:rPr>
                          <w:szCs w:val="22"/>
                        </w:rPr>
                      </w:pPr>
                      <w:r>
                        <w:rPr>
                          <w:i/>
                          <w:iCs/>
                          <w:szCs w:val="22"/>
                        </w:rPr>
                        <w:t>čia:</w:t>
                      </w:r>
                    </w:p>
                    <w:p w14:paraId="7FFF451E" w14:textId="77777777" w:rsidR="0033454E" w:rsidRDefault="00601180">
                      <w:pPr>
                        <w:spacing w:line="276" w:lineRule="auto"/>
                        <w:ind w:firstLine="720"/>
                        <w:contextualSpacing/>
                        <w:jc w:val="both"/>
                        <w:rPr>
                          <w:szCs w:val="22"/>
                        </w:rPr>
                      </w:pPr>
                      <w:r>
                        <w:rPr>
                          <w:szCs w:val="22"/>
                        </w:rPr>
                        <w:t>VT’</w:t>
                      </w:r>
                      <w:r>
                        <w:rPr>
                          <w:szCs w:val="22"/>
                          <w:vertAlign w:val="subscript"/>
                        </w:rPr>
                        <w:t>(10,04)t</w:t>
                      </w:r>
                      <w:r>
                        <w:rPr>
                          <w:szCs w:val="22"/>
                        </w:rPr>
                        <w:t xml:space="preserve"> – visuomeninių elektros energijos kainų viršutinės ribos vartotojams, gaunantiems elektros energiją iš skirstymo atitinkamai VĮ ir ŽĮ tinklų </w:t>
                      </w:r>
                      <w:r>
                        <w:rPr>
                          <w:i/>
                          <w:iCs/>
                          <w:szCs w:val="22"/>
                        </w:rPr>
                        <w:t xml:space="preserve">t </w:t>
                      </w:r>
                      <w:r>
                        <w:rPr>
                          <w:szCs w:val="22"/>
                        </w:rPr>
                        <w:t>metais, Lt/kWh (EUR/kWh);</w:t>
                      </w:r>
                    </w:p>
                    <w:p w14:paraId="7F0B7AD1" w14:textId="77777777" w:rsidR="0033454E" w:rsidRDefault="00601180">
                      <w:pPr>
                        <w:spacing w:line="276" w:lineRule="auto"/>
                        <w:ind w:firstLine="720"/>
                        <w:contextualSpacing/>
                        <w:jc w:val="both"/>
                        <w:rPr>
                          <w:szCs w:val="22"/>
                        </w:rPr>
                      </w:pPr>
                      <w:r>
                        <w:rPr>
                          <w:szCs w:val="22"/>
                        </w:rPr>
                        <w:t>T</w:t>
                      </w:r>
                      <w:r>
                        <w:rPr>
                          <w:szCs w:val="22"/>
                          <w:vertAlign w:val="subscript"/>
                        </w:rPr>
                        <w:t>g, t</w:t>
                      </w:r>
                      <w:r>
                        <w:rPr>
                          <w:szCs w:val="22"/>
                        </w:rPr>
                        <w:t xml:space="preserve"> – prognozuojama elektros energijos įsigijimo kaina </w:t>
                      </w:r>
                      <w:r>
                        <w:rPr>
                          <w:i/>
                          <w:iCs/>
                          <w:szCs w:val="22"/>
                        </w:rPr>
                        <w:t>t</w:t>
                      </w:r>
                      <w:r>
                        <w:rPr>
                          <w:szCs w:val="22"/>
                        </w:rPr>
                        <w:t xml:space="preserve"> metais, EUR/kWh;</w:t>
                      </w:r>
                    </w:p>
                    <w:p w14:paraId="7673ABEB" w14:textId="77777777" w:rsidR="0033454E" w:rsidRDefault="00601180">
                      <w:pPr>
                        <w:spacing w:line="276" w:lineRule="auto"/>
                        <w:ind w:firstLine="720"/>
                        <w:contextualSpacing/>
                        <w:jc w:val="both"/>
                        <w:rPr>
                          <w:szCs w:val="22"/>
                        </w:rPr>
                      </w:pPr>
                      <w:r>
                        <w:rPr>
                          <w:szCs w:val="22"/>
                        </w:rPr>
                        <w:t>ΔT</w:t>
                      </w:r>
                      <w:r>
                        <w:rPr>
                          <w:szCs w:val="22"/>
                          <w:vertAlign w:val="subscript"/>
                        </w:rPr>
                        <w:t>g, t-2</w:t>
                      </w:r>
                      <w:r>
                        <w:rPr>
                          <w:szCs w:val="22"/>
                        </w:rPr>
                        <w:t xml:space="preserve"> – </w:t>
                      </w:r>
                      <w:r>
                        <w:rPr>
                          <w:i/>
                          <w:iCs/>
                          <w:szCs w:val="22"/>
                        </w:rPr>
                        <w:t>t-2</w:t>
                      </w:r>
                      <w:r>
                        <w:rPr>
                          <w:szCs w:val="22"/>
                        </w:rPr>
                        <w:t xml:space="preserve"> metų faktinės elektros energijos įsigijimo kainos ir prognozuotos elektros energijos įsigijimo kainos skirtumas, EUR/kWh;</w:t>
                      </w:r>
                    </w:p>
                    <w:p w14:paraId="4E974A49" w14:textId="77777777" w:rsidR="0033454E" w:rsidRDefault="00601180">
                      <w:pPr>
                        <w:spacing w:line="276" w:lineRule="auto"/>
                        <w:ind w:firstLine="720"/>
                        <w:contextualSpacing/>
                        <w:jc w:val="both"/>
                        <w:rPr>
                          <w:szCs w:val="22"/>
                        </w:rPr>
                      </w:pPr>
                      <w:r>
                        <w:rPr>
                          <w:szCs w:val="22"/>
                        </w:rPr>
                        <w:lastRenderedPageBreak/>
                        <w:t>T’</w:t>
                      </w:r>
                      <w:r>
                        <w:rPr>
                          <w:szCs w:val="22"/>
                          <w:vertAlign w:val="subscript"/>
                        </w:rPr>
                        <w:t>vt, t</w:t>
                      </w:r>
                      <w:r>
                        <w:rPr>
                          <w:szCs w:val="22"/>
                        </w:rPr>
                        <w:t xml:space="preserve"> – elektros energijos visuomeninio tiekimo paslaugos kainos viršutinė riba </w:t>
                      </w:r>
                      <w:r>
                        <w:rPr>
                          <w:i/>
                          <w:iCs/>
                          <w:szCs w:val="22"/>
                        </w:rPr>
                        <w:t xml:space="preserve">t </w:t>
                      </w:r>
                      <w:r>
                        <w:rPr>
                          <w:szCs w:val="22"/>
                        </w:rPr>
                        <w:t>metais, EUR/kWh;</w:t>
                      </w:r>
                    </w:p>
                    <w:p w14:paraId="1D09AC5C" w14:textId="77777777" w:rsidR="0033454E" w:rsidRDefault="00601180">
                      <w:pPr>
                        <w:spacing w:line="276" w:lineRule="auto"/>
                        <w:ind w:firstLine="720"/>
                        <w:contextualSpacing/>
                        <w:jc w:val="both"/>
                        <w:rPr>
                          <w:bCs/>
                          <w:szCs w:val="22"/>
                        </w:rPr>
                      </w:pPr>
                      <w:r>
                        <w:rPr>
                          <w:bCs/>
                          <w:szCs w:val="22"/>
                        </w:rPr>
                        <w:t>T’</w:t>
                      </w:r>
                      <w:r>
                        <w:rPr>
                          <w:bCs/>
                          <w:szCs w:val="22"/>
                          <w:vertAlign w:val="subscript"/>
                        </w:rPr>
                        <w:t>(110), t</w:t>
                      </w:r>
                      <w:r>
                        <w:rPr>
                          <w:bCs/>
                          <w:szCs w:val="22"/>
                        </w:rPr>
                        <w:t xml:space="preserve"> – elektros energijos perdavimo AĮ tinklais paslaugos kainos viršutinė riba </w:t>
                      </w:r>
                      <w:r>
                        <w:rPr>
                          <w:bCs/>
                          <w:i/>
                          <w:iCs/>
                          <w:szCs w:val="22"/>
                        </w:rPr>
                        <w:t xml:space="preserve">t </w:t>
                      </w:r>
                      <w:r>
                        <w:rPr>
                          <w:bCs/>
                          <w:szCs w:val="22"/>
                        </w:rPr>
                        <w:t>metais, EUR/kWh;</w:t>
                      </w:r>
                    </w:p>
                    <w:p w14:paraId="17261719" w14:textId="77777777" w:rsidR="0033454E" w:rsidRDefault="00601180">
                      <w:pPr>
                        <w:spacing w:line="276" w:lineRule="auto"/>
                        <w:ind w:firstLine="720"/>
                        <w:contextualSpacing/>
                        <w:jc w:val="both"/>
                        <w:rPr>
                          <w:bCs/>
                          <w:szCs w:val="22"/>
                        </w:rPr>
                      </w:pPr>
                      <w:r>
                        <w:rPr>
                          <w:bCs/>
                          <w:szCs w:val="22"/>
                        </w:rPr>
                        <w:t>T’</w:t>
                      </w:r>
                      <w:r>
                        <w:rPr>
                          <w:bCs/>
                          <w:szCs w:val="22"/>
                          <w:vertAlign w:val="subscript"/>
                        </w:rPr>
                        <w:t>(10), t</w:t>
                      </w:r>
                      <w:r>
                        <w:rPr>
                          <w:bCs/>
                          <w:szCs w:val="22"/>
                        </w:rPr>
                        <w:t xml:space="preserve"> – elektros energijos skirstymo paslaugos VĮ tinklais kainos viršutinė riba </w:t>
                      </w:r>
                      <w:r>
                        <w:rPr>
                          <w:bCs/>
                          <w:i/>
                          <w:iCs/>
                          <w:szCs w:val="22"/>
                        </w:rPr>
                        <w:t xml:space="preserve">t </w:t>
                      </w:r>
                      <w:r>
                        <w:rPr>
                          <w:bCs/>
                          <w:szCs w:val="22"/>
                        </w:rPr>
                        <w:t>metais, EUR/kWh;</w:t>
                      </w:r>
                    </w:p>
                    <w:p w14:paraId="2B50CD1C" w14:textId="3A9F2CA3" w:rsidR="0033454E" w:rsidRDefault="00601180">
                      <w:pPr>
                        <w:spacing w:line="276" w:lineRule="auto"/>
                        <w:ind w:firstLine="720"/>
                        <w:contextualSpacing/>
                        <w:jc w:val="both"/>
                        <w:rPr>
                          <w:szCs w:val="22"/>
                        </w:rPr>
                      </w:pPr>
                      <w:r>
                        <w:rPr>
                          <w:bCs/>
                          <w:szCs w:val="22"/>
                        </w:rPr>
                        <w:t>T’</w:t>
                      </w:r>
                      <w:r>
                        <w:rPr>
                          <w:bCs/>
                          <w:szCs w:val="22"/>
                          <w:vertAlign w:val="subscript"/>
                        </w:rPr>
                        <w:t>(04), t</w:t>
                      </w:r>
                      <w:r>
                        <w:rPr>
                          <w:bCs/>
                          <w:szCs w:val="22"/>
                        </w:rPr>
                        <w:t xml:space="preserve"> – elektros energijos skirstymo paslaugos ŽĮ tinklais kainos viršutinė riba, t metais, EUR/kWh, 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w:t>
                      </w:r>
                    </w:p>
                    <w:p w14:paraId="55D97965" w14:textId="77777777" w:rsidR="0033454E" w:rsidRDefault="00601180">
                      <w:pPr>
                        <w:spacing w:line="276" w:lineRule="auto"/>
                        <w:ind w:firstLine="720"/>
                        <w:contextualSpacing/>
                        <w:jc w:val="both"/>
                        <w:rPr>
                          <w:szCs w:val="22"/>
                        </w:rPr>
                      </w:pPr>
                      <w:r>
                        <w:rPr>
                          <w:szCs w:val="22"/>
                        </w:rPr>
                        <w:t>T</w:t>
                      </w:r>
                      <w:r>
                        <w:rPr>
                          <w:szCs w:val="22"/>
                          <w:vertAlign w:val="subscript"/>
                        </w:rPr>
                        <w:t xml:space="preserve">sis, t </w:t>
                      </w:r>
                      <w:r>
                        <w:rPr>
                          <w:szCs w:val="22"/>
                        </w:rPr>
                        <w:t xml:space="preserve">– elektros energijos sisteminių paslaugų kaina, apskaičiuota vadovaujantis 2012 m. liepos 27 d. Komisijos nutarimu Nr. O3-200 „Dėl Elektros energijos sisteminių paslaugų kainos nustatymo metodikos patvirtinimo“ patvirtinta Elektros energijos sisteminių paslaugų kainos nustatymo metodika, </w:t>
                      </w:r>
                      <w:r>
                        <w:rPr>
                          <w:i/>
                          <w:iCs/>
                          <w:szCs w:val="22"/>
                        </w:rPr>
                        <w:t xml:space="preserve">t </w:t>
                      </w:r>
                      <w:r>
                        <w:rPr>
                          <w:szCs w:val="22"/>
                        </w:rPr>
                        <w:t>metais, EUR/kWh;</w:t>
                      </w:r>
                    </w:p>
                    <w:p w14:paraId="24D81430" w14:textId="01AD0292" w:rsidR="0033454E" w:rsidRDefault="00601180" w:rsidP="00601180">
                      <w:pPr>
                        <w:spacing w:line="276" w:lineRule="auto"/>
                        <w:ind w:firstLine="720"/>
                        <w:contextualSpacing/>
                        <w:jc w:val="both"/>
                      </w:pPr>
                      <w:r>
                        <w:rPr>
                          <w:szCs w:val="22"/>
                        </w:rPr>
                        <w:t>T</w:t>
                      </w:r>
                      <w:r>
                        <w:rPr>
                          <w:szCs w:val="22"/>
                          <w:vertAlign w:val="subscript"/>
                        </w:rPr>
                        <w:t>viap, t</w:t>
                      </w:r>
                      <w:r>
                        <w:rPr>
                          <w:szCs w:val="22"/>
                        </w:rPr>
                        <w:t xml:space="preserve"> –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iCs/>
                          <w:szCs w:val="22"/>
                        </w:rPr>
                        <w:t xml:space="preserve">t </w:t>
                      </w:r>
                      <w:r>
                        <w:rPr>
                          <w:szCs w:val="22"/>
                        </w:rPr>
                        <w:t>metais, EUR/</w:t>
                      </w:r>
                      <w:proofErr w:type="spellStart"/>
                      <w:r>
                        <w:rPr>
                          <w:szCs w:val="22"/>
                        </w:rPr>
                        <w:t>kWh</w:t>
                      </w:r>
                      <w:proofErr w:type="spellEnd"/>
                      <w:r>
                        <w:rPr>
                          <w:szCs w:val="22"/>
                        </w:rPr>
                        <w:t xml:space="preserve">.“ </w:t>
                      </w:r>
                    </w:p>
                  </w:sdtContent>
                </w:sdt>
              </w:sdtContent>
            </w:sdt>
          </w:sdtContent>
        </w:sdt>
        <w:sdt>
          <w:sdtPr>
            <w:alias w:val="signatura"/>
            <w:tag w:val="part_bac0be3aab43467fa59eefb98f172f67"/>
            <w:id w:val="-1935118721"/>
            <w:lock w:val="sdtLocked"/>
          </w:sdtPr>
          <w:sdtEndPr/>
          <w:sdtContent>
            <w:p w14:paraId="61E6685C" w14:textId="77777777" w:rsidR="00601180" w:rsidRDefault="00601180">
              <w:pPr>
                <w:spacing w:line="276" w:lineRule="auto"/>
                <w:contextualSpacing/>
                <w:jc w:val="both"/>
              </w:pPr>
            </w:p>
            <w:p w14:paraId="79C52E13" w14:textId="77777777" w:rsidR="00601180" w:rsidRDefault="00601180">
              <w:pPr>
                <w:spacing w:line="276" w:lineRule="auto"/>
                <w:contextualSpacing/>
                <w:jc w:val="both"/>
              </w:pPr>
            </w:p>
            <w:p w14:paraId="1C85988C" w14:textId="77777777" w:rsidR="00601180" w:rsidRDefault="00601180">
              <w:pPr>
                <w:spacing w:line="276" w:lineRule="auto"/>
                <w:contextualSpacing/>
                <w:jc w:val="both"/>
              </w:pPr>
              <w:bookmarkStart w:id="0" w:name="_GoBack"/>
              <w:bookmarkEnd w:id="0"/>
            </w:p>
            <w:p w14:paraId="4EDDD0A6" w14:textId="5F3E72C1" w:rsidR="0033454E" w:rsidRDefault="00601180">
              <w:pPr>
                <w:spacing w:line="276" w:lineRule="auto"/>
                <w:contextualSpacing/>
                <w:jc w:val="both"/>
              </w:pPr>
              <w:r>
                <w:rPr>
                  <w:szCs w:val="22"/>
                </w:rPr>
                <w:t xml:space="preserve">Komisijos pirmininkė </w:t>
              </w:r>
              <w:r>
                <w:rPr>
                  <w:szCs w:val="22"/>
                </w:rPr>
                <w:tab/>
              </w:r>
              <w:r>
                <w:rPr>
                  <w:szCs w:val="22"/>
                </w:rPr>
                <w:tab/>
              </w:r>
              <w:r>
                <w:rPr>
                  <w:szCs w:val="22"/>
                </w:rPr>
                <w:tab/>
              </w:r>
              <w:r>
                <w:rPr>
                  <w:szCs w:val="22"/>
                </w:rPr>
                <w:tab/>
              </w:r>
              <w:r>
                <w:rPr>
                  <w:szCs w:val="22"/>
                </w:rPr>
                <w:tab/>
                <w:t xml:space="preserve">         Inga Žilienė</w:t>
              </w:r>
            </w:p>
          </w:sdtContent>
        </w:sdt>
      </w:sdtContent>
    </w:sdt>
    <w:sectPr w:rsidR="0033454E">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D7A24B" w14:textId="77777777" w:rsidR="0033454E" w:rsidRDefault="00601180">
      <w:r>
        <w:separator/>
      </w:r>
    </w:p>
  </w:endnote>
  <w:endnote w:type="continuationSeparator" w:id="0">
    <w:p w14:paraId="0F8C2C68" w14:textId="77777777" w:rsidR="0033454E" w:rsidRDefault="006011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D2A2CA" w14:textId="77777777" w:rsidR="0033454E" w:rsidRDefault="0033454E">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5016B3" w14:textId="77777777" w:rsidR="0033454E" w:rsidRDefault="0033454E">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0974EC" w14:textId="77777777" w:rsidR="0033454E" w:rsidRDefault="0033454E">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2FEA5E" w14:textId="77777777" w:rsidR="0033454E" w:rsidRDefault="00601180">
      <w:r>
        <w:separator/>
      </w:r>
    </w:p>
  </w:footnote>
  <w:footnote w:type="continuationSeparator" w:id="0">
    <w:p w14:paraId="5FC8C2C7" w14:textId="77777777" w:rsidR="0033454E" w:rsidRDefault="006011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E68AA2" w14:textId="77777777" w:rsidR="0033454E" w:rsidRDefault="0033454E">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CD5686" w14:textId="6434E39D" w:rsidR="0033454E" w:rsidRDefault="00601180">
    <w:pPr>
      <w:tabs>
        <w:tab w:val="center" w:pos="4819"/>
        <w:tab w:val="right" w:pos="9638"/>
      </w:tabs>
      <w:jc w:val="center"/>
    </w:pPr>
    <w:r>
      <w:fldChar w:fldCharType="begin"/>
    </w:r>
    <w:r>
      <w:instrText xml:space="preserve"> PAGE   \* MERGEFORMAT </w:instrText>
    </w:r>
    <w:r>
      <w:fldChar w:fldCharType="separate"/>
    </w:r>
    <w:r w:rsidR="007C35EC">
      <w:rPr>
        <w:noProof/>
      </w:rPr>
      <w:t>2</w:t>
    </w:r>
    <w:r>
      <w:fldChar w:fldCharType="end"/>
    </w:r>
  </w:p>
  <w:p w14:paraId="147D23E8" w14:textId="77777777" w:rsidR="0033454E" w:rsidRDefault="0033454E">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C0B507" w14:textId="77777777" w:rsidR="0033454E" w:rsidRDefault="0033454E">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3"/>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0E25"/>
    <w:rsid w:val="0033454E"/>
    <w:rsid w:val="00601180"/>
    <w:rsid w:val="007C35EC"/>
    <w:rsid w:val="00D60E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B24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01180"/>
    <w:rPr>
      <w:rFonts w:ascii="Tahoma" w:hAnsi="Tahoma" w:cs="Tahoma"/>
      <w:sz w:val="16"/>
      <w:szCs w:val="16"/>
    </w:rPr>
  </w:style>
  <w:style w:type="character" w:customStyle="1" w:styleId="DebesliotekstasDiagrama">
    <w:name w:val="Debesėlio tekstas Diagrama"/>
    <w:basedOn w:val="Numatytasispastraiposriftas"/>
    <w:link w:val="Debesliotekstas"/>
    <w:rsid w:val="0060118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01180"/>
    <w:rPr>
      <w:rFonts w:ascii="Tahoma" w:hAnsi="Tahoma" w:cs="Tahoma"/>
      <w:sz w:val="16"/>
      <w:szCs w:val="16"/>
    </w:rPr>
  </w:style>
  <w:style w:type="character" w:customStyle="1" w:styleId="DebesliotekstasDiagrama">
    <w:name w:val="Debesėlio tekstas Diagrama"/>
    <w:basedOn w:val="Numatytasispastraiposriftas"/>
    <w:link w:val="Debesliotekstas"/>
    <w:rsid w:val="0060118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6926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cid:image001.png@01D19400.F0E8E240"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5f459cb1cdd44de87f142ae94bcab89" PartId="c588425f7ee0442098d8d1c93aad8987">
    <Part Type="preambule" DocPartId="c20db93c93014c5bac98a07456029228" PartId="5882f52182744fc0963121fe636f3011"/>
    <Part Type="pastraipa" DocPartId="3ea03fa8116e4f02821897af5b7781ea" PartId="a06f472d067d46a88a9844bc9607dc74">
      <Part Type="citata" DocPartId="1a2ee47545da410c8b164203570a7802" PartId="677c2fc2999f46f5894fff043768ce34">
        <Part Type="punktas" Nr="107" Abbr="107 p." DocPartId="33121fc5d21445aa8b84484964c7916c" PartId="8e149cf31abd4ee29c97dbece3a93053"/>
      </Part>
    </Part>
    <Part Type="signatura" DocPartId="e9999216fad840d6af2865251a8df995" PartId="bac0be3aab43467fa59eefb98f172f67"/>
  </Part>
</Parts>
</file>

<file path=customXml/itemProps1.xml><?xml version="1.0" encoding="utf-8"?>
<ds:datastoreItem xmlns:ds="http://schemas.openxmlformats.org/officeDocument/2006/customXml" ds:itemID="{8CE0B453-579E-41C7-B3B7-22846F5F37D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2555</Words>
  <Characters>1457</Characters>
  <Application>Microsoft Office Word</Application>
  <DocSecurity>0</DocSecurity>
  <Lines>12</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4004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Rimgailė Baliūnaitė</dc:creator>
  <cp:lastModifiedBy>DRAZDAUSKIENĖ Nijolė</cp:lastModifiedBy>
  <cp:revision>4</cp:revision>
  <dcterms:created xsi:type="dcterms:W3CDTF">2016-05-16T04:51:00Z</dcterms:created>
  <dcterms:modified xsi:type="dcterms:W3CDTF">2016-05-16T05:49:00Z</dcterms:modified>
</cp:coreProperties>
</file>