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e5981972b4b43f6b1cdb3a91b333aa8"/>
        <w:id w:val="-1665621687"/>
        <w:lock w:val="sdtLocked"/>
      </w:sdtPr>
      <w:sdtEndPr/>
      <w:sdtContent>
        <w:p w14:paraId="61C36DDE" w14:textId="77777777" w:rsidR="005B53AA" w:rsidRDefault="005B53AA">
          <w:pPr>
            <w:tabs>
              <w:tab w:val="center" w:pos="4153"/>
              <w:tab w:val="right" w:pos="8306"/>
            </w:tabs>
            <w:rPr>
              <w:b/>
              <w:bCs/>
              <w:szCs w:val="24"/>
            </w:rPr>
          </w:pPr>
        </w:p>
        <w:p w14:paraId="7D11C521" w14:textId="77777777" w:rsidR="005B53AA" w:rsidRDefault="00BE27C8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  <w:r>
            <w:rPr>
              <w:szCs w:val="24"/>
            </w:rPr>
            <w:object w:dxaOrig="720" w:dyaOrig="870" w14:anchorId="4C4B3A8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7pt;height:44pt;visibility:visible;mso-wrap-style:square" o:ole="">
                <v:imagedata r:id="rId11" o:title=""/>
              </v:shape>
              <o:OLEObject Type="Embed" ProgID="Word.Picture.8" ShapeID="Picture 1" DrawAspect="Content" ObjectID="_1762186149" r:id="rId12"/>
            </w:object>
          </w:r>
        </w:p>
        <w:p w14:paraId="2DC46CA3" w14:textId="77777777" w:rsidR="005B53AA" w:rsidRDefault="005B53AA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szCs w:val="24"/>
            </w:rPr>
          </w:pPr>
        </w:p>
        <w:p w14:paraId="6388878C" w14:textId="77777777" w:rsidR="005B53AA" w:rsidRDefault="00BE27C8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7C4FA01" w14:textId="77777777" w:rsidR="005B53AA" w:rsidRDefault="005B53AA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b/>
              <w:bCs/>
              <w:szCs w:val="24"/>
            </w:rPr>
          </w:pPr>
        </w:p>
        <w:p w14:paraId="02E414CB" w14:textId="2AB79A4F" w:rsidR="005B53AA" w:rsidRDefault="00BE27C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kern w:val="16"/>
              <w:szCs w:val="24"/>
            </w:rPr>
            <w:t>ĮSAKYMAS</w:t>
          </w:r>
        </w:p>
        <w:p w14:paraId="515F7255" w14:textId="4041833E" w:rsidR="005B53AA" w:rsidRDefault="00BE27C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</w:t>
          </w:r>
          <w:r>
            <w:rPr>
              <w:b/>
              <w:bCs/>
              <w:szCs w:val="24"/>
            </w:rPr>
            <w:t>„DĖL 2022–2030 METŲ PLĖTROS PROGRAMOS VALDYTOJOS LIETUVOS RESPUBLIKOS SVEIKATOS APSAUGOS MINISTERIJOS SVEIKATOS PRIEŽIŪROS KOKYBĖS IR EFEKTYVUMO DIDINIMO PLĖTROS PROGRAMOS PAŽANGOS PRIEMONĖS NR. 11-002-02-11-01 „GERINTI SVEIKATOS PRIEŽIŪROS PASLAUGŲ KOKYBĘ</w:t>
          </w:r>
          <w:r>
            <w:rPr>
              <w:b/>
              <w:bCs/>
              <w:szCs w:val="24"/>
            </w:rPr>
            <w:t xml:space="preserve"> IR PRIEINAMUMĄ“ APRAŠO PATVIRTINIMO“ PAKEITIMO</w:t>
          </w:r>
        </w:p>
        <w:p w14:paraId="3519C68E" w14:textId="77777777" w:rsidR="005B53AA" w:rsidRDefault="005B53AA">
          <w:pPr>
            <w:jc w:val="center"/>
            <w:rPr>
              <w:szCs w:val="24"/>
            </w:rPr>
          </w:pPr>
        </w:p>
        <w:p w14:paraId="55B1F88D" w14:textId="03D0D2E7" w:rsidR="005B53AA" w:rsidRDefault="00BE27C8">
          <w:pPr>
            <w:jc w:val="center"/>
            <w:rPr>
              <w:szCs w:val="24"/>
            </w:rPr>
          </w:pPr>
          <w:r>
            <w:t>2023 m. lapkričio 22 d. </w:t>
          </w:r>
          <w:r>
            <w:rPr>
              <w:szCs w:val="24"/>
            </w:rPr>
            <w:t xml:space="preserve">Nr. </w:t>
          </w:r>
          <w:r w:rsidRPr="00BE27C8">
            <w:rPr>
              <w:szCs w:val="24"/>
            </w:rPr>
            <w:t>V-1212</w:t>
          </w:r>
        </w:p>
        <w:p w14:paraId="2799129D" w14:textId="77777777" w:rsidR="005B53AA" w:rsidRDefault="00BE27C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66BDF43" w14:textId="77777777" w:rsidR="005B53AA" w:rsidRDefault="005B53AA">
          <w:pPr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ced323876695439da78d4b0702ad36a6"/>
            <w:id w:val="-303630837"/>
            <w:lock w:val="sdtLocked"/>
          </w:sdtPr>
          <w:sdtEndPr/>
          <w:sdtContent>
            <w:p w14:paraId="4CF1AD24" w14:textId="77777777" w:rsidR="005B53AA" w:rsidRDefault="00BE27C8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2022–2030 metų plėtros programos valdytojos Lietuvos Respublikos sveikatos apsaugos ministerijos sveikatos priežiūros kokybės ir efektyvumo didinimo plėtro</w:t>
              </w:r>
              <w:r>
                <w:rPr>
                  <w:szCs w:val="24"/>
                </w:rPr>
                <w:t>s programos pažangos priemonės Nr. 11-002-02-11-01 „Gerinti sveikatos priežiūros paslaugų kokybę ir prieinamumą“ aprašą, patvirtintą Lietuvos Respublikos sveikatos apsaugos ministro 2022 m. gegužės 20 d. įsakymu Nr. V-988 „Dėl 2022–2030 metų plėtros progra</w:t>
              </w:r>
              <w:r>
                <w:rPr>
                  <w:szCs w:val="24"/>
                </w:rPr>
                <w:t>mos valdytojos Lietuvos Respublikos sveikatos apsaugos ministerijos sveikatos priežiūros kokybės ir efektyvumo didinimo plėtros programos pažangos priemonės Nr. 11-002-02-11-01 „Gerinti sveikatos priežiūros paslaugų kokybę ir prieinamumą“ aprašo patvirtini</w:t>
              </w:r>
              <w:r>
                <w:rPr>
                  <w:szCs w:val="24"/>
                </w:rPr>
                <w:t>mo“:</w:t>
              </w:r>
            </w:p>
          </w:sdtContent>
        </w:sdt>
        <w:sdt>
          <w:sdtPr>
            <w:alias w:val="1 p."/>
            <w:tag w:val="part_859eb2795b564852869227279e7b62bc"/>
            <w:id w:val="1963451064"/>
            <w:lock w:val="sdtLocked"/>
          </w:sdtPr>
          <w:sdtEndPr/>
          <w:sdtContent>
            <w:p w14:paraId="205A6098" w14:textId="6E101224" w:rsidR="005B53AA" w:rsidRDefault="00BE27C8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9eb2795b564852869227279e7b62bc"/>
                  <w:id w:val="163637348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18 priedo dalies „Specialieji finansavimo reikalavimai“ 2.3 papunktį ir jį</w:t>
              </w:r>
              <w:r>
                <w:rPr>
                  <w:bCs/>
                  <w:szCs w:val="24"/>
                </w:rPr>
                <w:t xml:space="preserve"> išdėstau taip</w:t>
              </w:r>
              <w:r>
                <w:rPr>
                  <w:color w:val="000000"/>
                </w:rPr>
                <w:t>:</w:t>
              </w:r>
            </w:p>
            <w:sdt>
              <w:sdtPr>
                <w:alias w:val="citata"/>
                <w:tag w:val="part_18b470fe91fd4590b11933f658f4104c"/>
                <w:id w:val="-104741742"/>
                <w:lock w:val="sdtLocked"/>
              </w:sdtPr>
              <w:sdtEndPr/>
              <w:sdtContent>
                <w:sdt>
                  <w:sdtPr>
                    <w:alias w:val="2.3 pp."/>
                    <w:tag w:val="part_b895cd3282bf4f9d9dd3db3bce8f3574"/>
                    <w:id w:val="633142005"/>
                    <w:lock w:val="sdtLocked"/>
                  </w:sdtPr>
                  <w:sdtEndPr/>
                  <w:sdtContent>
                    <w:p w14:paraId="345C32F5" w14:textId="616758BD" w:rsidR="005B53AA" w:rsidRDefault="00BE27C8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b895cd3282bf4f9d9dd3db3bce8f3574"/>
                          <w:id w:val="-1368977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2.3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Galimi pareiškėjai pagal Aprašo 2.1.1 papunktį – savivaldybių administracijos. ASPN paslaugas teikiančių specialistų komandų, kaip jos apibrėžtos Ambulatorinių slaugos paslaugų namuose teikimo reikalavimų apraše, skaičius pagal savivaldybes: Vilniaus mie</w:t>
                      </w:r>
                      <w:r>
                        <w:rPr>
                          <w:color w:val="000000"/>
                        </w:rPr>
                        <w:t>sto savivaldybė – ne daugiau kaip 8, Kauno miesto savivaldybė – ne daugiau kaip 6, Klaipėdos miesto savivaldybė – ne daugiau kaip 5, Šiaulių miesto savivaldybė – ne daugiau kaip 4, Vilniaus rajono savivaldybė – ne daugiau kaip 3, Kauno rajono savivaldybė –</w:t>
                      </w:r>
                      <w:r>
                        <w:rPr>
                          <w:color w:val="000000"/>
                        </w:rPr>
                        <w:t xml:space="preserve"> ne daugiau kaip 3, Panevėžio miesto savivaldybė – ne daugiau kaip 3, </w:t>
                      </w:r>
                      <w:r>
                        <w:rPr>
                          <w:color w:val="000000"/>
                        </w:rPr>
                        <w:lastRenderedPageBreak/>
                        <w:t>Klaipėdos rajono savivaldybė – ne daugiau kaip 3, Marijampolės savivaldybė – ne daugiau kaip 2, Alytaus miesto savivaldybė – ne daugiau kaip 2, Mažeikių rajono savivaldybė – ne daugiau k</w:t>
                      </w:r>
                      <w:r>
                        <w:rPr>
                          <w:color w:val="000000"/>
                        </w:rPr>
                        <w:t xml:space="preserve">aip 2, kitos savivaldybės – po vieną. </w:t>
                      </w:r>
                      <w:r>
                        <w:rPr>
                          <w:szCs w:val="24"/>
                        </w:rPr>
                        <w:t>Projekto lėšomis gali būti finansuojama tik viena ASPN paslaugas teikiančios įstaigos ASPN specialistų komanda.“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1a26978b0a94294861494f8a4447122"/>
            <w:id w:val="-2132545957"/>
            <w:lock w:val="sdtLocked"/>
          </w:sdtPr>
          <w:sdtEndPr/>
          <w:sdtContent>
            <w:p w14:paraId="54CF9443" w14:textId="2C10AF30" w:rsidR="005B53AA" w:rsidRDefault="00BE27C8">
              <w:pPr>
                <w:tabs>
                  <w:tab w:val="left" w:pos="993"/>
                </w:tabs>
                <w:spacing w:line="360" w:lineRule="atLeast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1a26978b0a94294861494f8a4447122"/>
                  <w:id w:val="1431680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18 priedo dalies „Specialieji finansavimo reikalavimai“ 2.4.3 papunktį ir jį</w:t>
              </w:r>
              <w:r>
                <w:rPr>
                  <w:bCs/>
                  <w:szCs w:val="24"/>
                </w:rPr>
                <w:t xml:space="preserve"> išdėstau</w:t>
              </w:r>
              <w:r>
                <w:rPr>
                  <w:bCs/>
                  <w:szCs w:val="24"/>
                </w:rPr>
                <w:t xml:space="preserve"> taip:</w:t>
              </w:r>
            </w:p>
            <w:sdt>
              <w:sdtPr>
                <w:alias w:val="citata"/>
                <w:tag w:val="part_4841ca2818044d6ba0c0283be04cadad"/>
                <w:id w:val="-655378357"/>
                <w:lock w:val="sdtLocked"/>
              </w:sdtPr>
              <w:sdtEndPr/>
              <w:sdtContent>
                <w:sdt>
                  <w:sdtPr>
                    <w:alias w:val="2.4.3 pp."/>
                    <w:tag w:val="part_5c3e7c036411445c8803f9c9c4334e8c"/>
                    <w:id w:val="697511229"/>
                    <w:lock w:val="sdtLocked"/>
                  </w:sdtPr>
                  <w:sdtEndPr/>
                  <w:sdtContent>
                    <w:p w14:paraId="733B01E5" w14:textId="6523B6D1" w:rsidR="005B53AA" w:rsidRDefault="00BE27C8">
                      <w:pPr>
                        <w:tabs>
                          <w:tab w:val="left" w:pos="709"/>
                        </w:tabs>
                        <w:spacing w:line="360" w:lineRule="atLeast"/>
                        <w:ind w:firstLine="709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c3e7c036411445c8803f9c9c4334e8c"/>
                          <w:id w:val="-69160792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2.4.3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ASPN paslaugas teikianti specialistų komanda šias paslaugas 2022 metais ir 2023 metų I–III ketvirtį savivaldybėje suteikė didžiausiam unikalių asmenų skaičiui (duomenų šaltinis: Valstybinės ligonių kasos prie Sveikatos apsaugos ministerijo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s (2022-01-01 iki 2023-09-30 (įskaitytinai) duomenys);“.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9cc0055e4ce642449daa0b1e1613b2a3"/>
            <w:id w:val="1191180926"/>
            <w:lock w:val="sdtLocked"/>
          </w:sdtPr>
          <w:sdtEndPr/>
          <w:sdtContent>
            <w:p w14:paraId="1E56C7ED" w14:textId="6D8ADFC0" w:rsidR="005B53AA" w:rsidRDefault="00BE27C8">
              <w:pPr>
                <w:tabs>
                  <w:tab w:val="left" w:pos="993"/>
                </w:tabs>
                <w:spacing w:line="360" w:lineRule="atLeast"/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cc0055e4ce642449daa0b1e1613b2a3"/>
                  <w:id w:val="-174170506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Pakeičiu 18 priedo dalies „Specialieji finansavimo reikalavimai“ 2.4.4 papunktį ir jį išdėstau taip:</w:t>
              </w:r>
            </w:p>
            <w:sdt>
              <w:sdtPr>
                <w:alias w:val="citata"/>
                <w:tag w:val="part_979bb48b4faf4b56b73ed9295955a1cd"/>
                <w:id w:val="-455570719"/>
                <w:lock w:val="sdtLocked"/>
              </w:sdtPr>
              <w:sdtEndPr/>
              <w:sdtContent>
                <w:sdt>
                  <w:sdtPr>
                    <w:alias w:val="2.4.4 pp."/>
                    <w:tag w:val="part_db9d0ed1a2244ae99aa1c3f28e57ca12"/>
                    <w:id w:val="-957714326"/>
                    <w:lock w:val="sdtLocked"/>
                  </w:sdtPr>
                  <w:sdtEndPr/>
                  <w:sdtContent>
                    <w:p w14:paraId="143387F4" w14:textId="1D97A838" w:rsidR="005B53AA" w:rsidRDefault="00BE27C8">
                      <w:pPr>
                        <w:tabs>
                          <w:tab w:val="left" w:pos="709"/>
                        </w:tabs>
                        <w:spacing w:line="360" w:lineRule="atLeast"/>
                        <w:ind w:firstLine="709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b9d0ed1a2244ae99aa1c3f28e57ca12"/>
                          <w:id w:val="203599167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2.4.4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ne mažiau kaip 80 proc. ASPN paslaugas teikiančios įstaigos ASPN gavėjų, kuri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ems nustatytas specialusis nuolatinės slaugos poreikis, ASPN paslaugą gauna namuose (duomenų šaltinis: Socialinių paslaugų informacinės sistemos arba ASPN teikiančios įstaigos (2022-01-01 iki 2023-09-30 (įskaitytinai) duomenys).“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49eddad68bd749d09233c09be4a3f6f9"/>
            <w:id w:val="-1563320701"/>
            <w:lock w:val="sdtLocked"/>
          </w:sdtPr>
          <w:sdtEndPr/>
          <w:sdtContent>
            <w:p w14:paraId="06FE22A8" w14:textId="3B2B1DA8" w:rsidR="005B53AA" w:rsidRDefault="00BE27C8">
              <w:pPr>
                <w:tabs>
                  <w:tab w:val="left" w:pos="709"/>
                </w:tabs>
                <w:spacing w:line="360" w:lineRule="atLeast"/>
                <w:ind w:left="1080" w:hanging="360"/>
                <w:jc w:val="both"/>
                <w:rPr>
                  <w:rFonts w:eastAsia="Calibri"/>
                  <w:color w:val="000000"/>
                  <w:szCs w:val="24"/>
                </w:rPr>
              </w:pPr>
              <w:sdt>
                <w:sdtPr>
                  <w:alias w:val="Numeris"/>
                  <w:tag w:val="nr_49eddad68bd749d09233c09be4a3f6f9"/>
                  <w:id w:val="428926882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</w:rPr>
                <w:t>.</w:t>
              </w:r>
              <w:r>
                <w:rPr>
                  <w:rFonts w:eastAsia="Calibri"/>
                  <w:color w:val="000000"/>
                  <w:szCs w:val="24"/>
                </w:rPr>
                <w:tab/>
                <w:t>Pakeičiu 18 pri</w:t>
              </w:r>
              <w:r>
                <w:rPr>
                  <w:rFonts w:eastAsia="Calibri"/>
                  <w:color w:val="000000"/>
                  <w:szCs w:val="24"/>
                </w:rPr>
                <w:t>edo dalies „Išlaidų tinkamumo finansuoti reikalavimai“ 13.2 papunktį ir jį išdėstau taip:</w:t>
              </w:r>
            </w:p>
            <w:sdt>
              <w:sdtPr>
                <w:alias w:val="citata"/>
                <w:tag w:val="part_01a53bd3f6de4b9cbf6413bc216339e8"/>
                <w:id w:val="-746107646"/>
                <w:lock w:val="sdtLocked"/>
              </w:sdtPr>
              <w:sdtEndPr/>
              <w:sdtContent>
                <w:sdt>
                  <w:sdtPr>
                    <w:alias w:val="13.2 pp."/>
                    <w:tag w:val="part_0bddb4c87bc14bd385883c0f6f5f8601"/>
                    <w:id w:val="328564749"/>
                    <w:lock w:val="sdtLocked"/>
                  </w:sdtPr>
                  <w:sdtEndPr/>
                  <w:sdtContent>
                    <w:p w14:paraId="5DA8E35F" w14:textId="480CBA44" w:rsidR="005B53AA" w:rsidRDefault="00BE27C8">
                      <w:pPr>
                        <w:tabs>
                          <w:tab w:val="left" w:pos="606"/>
                        </w:tabs>
                        <w:spacing w:line="276" w:lineRule="auto"/>
                        <w:ind w:firstLine="606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bddb4c87bc14bd385883c0f6f5f8601"/>
                          <w:id w:val="-1968108741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13.2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Pagal Aprašą tinkamos finansuoti išlaidos yra šios: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a1af8b0c101b448080d3183ad9f6a915"/>
            <w:id w:val="2061588789"/>
            <w:lock w:val="sdtLocked"/>
          </w:sdtPr>
          <w:sdtEndPr/>
          <w:sdtContent>
            <w:tbl>
              <w:tblPr>
                <w:tblW w:w="1462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shd w:val="clear" w:color="auto" w:fill="FFFFFF"/>
                <w:tblLayout w:type="fixed"/>
                <w:tblLook w:val="04A0" w:firstRow="1" w:lastRow="0" w:firstColumn="1" w:lastColumn="0" w:noHBand="0" w:noVBand="1"/>
              </w:tblPr>
              <w:tblGrid>
                <w:gridCol w:w="2694"/>
                <w:gridCol w:w="11931"/>
              </w:tblGrid>
              <w:tr w:rsidR="005B53AA" w14:paraId="5CE23BCB" w14:textId="77777777"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3327A40E" w14:textId="77777777" w:rsidR="005B53AA" w:rsidRDefault="00BE27C8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Išlaidų tipas</w:t>
                    </w: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12CD802F" w14:textId="77777777" w:rsidR="005B53AA" w:rsidRDefault="00BE27C8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  <w:r>
                      <w:rPr>
                        <w:b/>
                        <w:szCs w:val="24"/>
                        <w:lang w:eastAsia="lt-LT"/>
                      </w:rPr>
                      <w:t>Reikalavimai ir paaiškinimai</w:t>
                    </w:r>
                  </w:p>
                  <w:p w14:paraId="70BB4F68" w14:textId="77777777" w:rsidR="005B53AA" w:rsidRDefault="005B53AA">
                    <w:pPr>
                      <w:jc w:val="center"/>
                      <w:rPr>
                        <w:b/>
                        <w:szCs w:val="24"/>
                        <w:lang w:eastAsia="lt-LT"/>
                      </w:rPr>
                    </w:pPr>
                  </w:p>
                </w:tc>
              </w:tr>
              <w:tr w:rsidR="005B53AA" w14:paraId="1120CEE1" w14:textId="77777777"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6E1CD40D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Žemė</w:t>
                    </w: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62FFF9D8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Netinkama finansuoti.</w:t>
                    </w:r>
                  </w:p>
                </w:tc>
              </w:tr>
              <w:tr w:rsidR="005B53AA" w14:paraId="04DFB0FD" w14:textId="77777777"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32AD476F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Nekilnojamasis turtas</w:t>
                    </w: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3C9A41EB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Netinkama finansuoti.</w:t>
                    </w:r>
                  </w:p>
                </w:tc>
              </w:tr>
              <w:tr w:rsidR="005B53AA" w14:paraId="472F6A28" w14:textId="77777777"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14957A82" w14:textId="77777777" w:rsidR="005B53AA" w:rsidRDefault="00BE27C8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Statyba, rekonstravimas, remontas ir kiti darbai</w:t>
                    </w: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4589813A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Vykdant Aprašo </w:t>
                    </w:r>
                    <w:r>
                      <w:rPr>
                        <w:szCs w:val="24"/>
                        <w:lang w:val="en-US" w:eastAsia="lt-LT"/>
                      </w:rPr>
                      <w:t xml:space="preserve">2.1.2 </w:t>
                    </w:r>
                    <w:proofErr w:type="spellStart"/>
                    <w:r>
                      <w:rPr>
                        <w:szCs w:val="24"/>
                        <w:lang w:val="en-US" w:eastAsia="lt-LT"/>
                      </w:rPr>
                      <w:t>veikl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ą</w:t>
                    </w:r>
                    <w:r>
                      <w:rPr>
                        <w:szCs w:val="24"/>
                        <w:lang w:val="en-US"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 xml:space="preserve">tinkamos finansuoti veiklos yra statyba, rekonstravimas, remontas ir kiti darbai (įskaitant privalomas inžinerines paslaugas). </w:t>
                    </w:r>
                    <w:r>
                      <w:rPr>
                        <w:szCs w:val="24"/>
                      </w:rPr>
                      <w:t>Aprašo 2.1.2 veiklai skiriama</w:t>
                    </w:r>
                    <w:r>
                      <w:rPr>
                        <w:szCs w:val="24"/>
                      </w:rPr>
                      <w:t xml:space="preserve"> didžiausia tinkamų finansuoti išlaidų suma nurodyta Aprašo 2 priede.</w:t>
                    </w:r>
                  </w:p>
                </w:tc>
              </w:tr>
              <w:tr w:rsidR="005B53AA" w14:paraId="7689D09C" w14:textId="77777777">
                <w:trPr>
                  <w:trHeight w:val="7384"/>
                </w:trPr>
                <w:tc>
                  <w:tcPr>
                    <w:tcW w:w="269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01086371" w14:textId="77777777" w:rsidR="005B53AA" w:rsidRDefault="00BE27C8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Įranga, įrenginiai ir kitas turtas</w:t>
                    </w: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39DB9089" w14:textId="77777777" w:rsidR="005B53AA" w:rsidRDefault="00BE27C8">
                    <w:pPr>
                      <w:tabs>
                        <w:tab w:val="left" w:pos="344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</w:t>
                    </w:r>
                    <w:r>
                      <w:rPr>
                        <w:szCs w:val="24"/>
                        <w:lang w:eastAsia="lt-LT"/>
                      </w:rPr>
                      <w:tab/>
                      <w:t>Vykdant Aprašo 2.1.1 papunktyje nurodytas veiklas, išlaidos skirtos:</w:t>
                    </w:r>
                  </w:p>
                  <w:p w14:paraId="3744B13C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1.1. medicininei ir kitai įrangai pagal šį sąrašą:</w:t>
                    </w:r>
                  </w:p>
                  <w:p w14:paraId="61502B74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1.1.1.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fonendoskopas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;</w:t>
                    </w:r>
                  </w:p>
                  <w:p w14:paraId="5B9FE71E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1.1.2</w:t>
                    </w:r>
                    <w:r>
                      <w:rPr>
                        <w:szCs w:val="24"/>
                        <w:lang w:eastAsia="lt-LT"/>
                      </w:rPr>
                      <w:t>. kraujospūdžio matavimo aparatas;</w:t>
                    </w:r>
                  </w:p>
                  <w:p w14:paraId="20724BE8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1.1.3.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tonometras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akispūdžiui matuoti;</w:t>
                    </w:r>
                  </w:p>
                  <w:p w14:paraId="5BD6CD3C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</w:pPr>
                    <w:r>
                      <w:rPr>
                        <w:szCs w:val="24"/>
                        <w:lang w:eastAsia="lt-LT"/>
                      </w:rPr>
                      <w:t xml:space="preserve">1.1.4. </w:t>
                    </w:r>
                    <w:r>
                      <w:t>termometras;</w:t>
                    </w:r>
                  </w:p>
                  <w:p w14:paraId="5A8C5B59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</w:pPr>
                    <w:r>
                      <w:t>1.1.5. matuoklis gliukozės kiekiui kapiliariniame kraujyje nustatyti;</w:t>
                    </w:r>
                  </w:p>
                  <w:p w14:paraId="55995C64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</w:pPr>
                    <w:r>
                      <w:t>1.1.6. matuoklis kraujo krešumo rodikliui kapiliariniame kraujyje nustatyti;</w:t>
                    </w:r>
                  </w:p>
                  <w:p w14:paraId="777A5A37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</w:pPr>
                    <w:r>
                      <w:t>1.1.7.</w:t>
                    </w:r>
                    <w:r>
                      <w:rPr>
                        <w:b/>
                        <w:bCs/>
                      </w:rPr>
                      <w:t xml:space="preserve"> </w:t>
                    </w:r>
                    <w:r>
                      <w:t xml:space="preserve">mobilusis </w:t>
                    </w:r>
                    <w:proofErr w:type="spellStart"/>
                    <w:r>
                      <w:t>elektrokardiografas</w:t>
                    </w:r>
                    <w:proofErr w:type="spellEnd"/>
                    <w:r>
                      <w:t xml:space="preserve"> (ne mažiau kaip 12 </w:t>
                    </w:r>
                    <w:proofErr w:type="spellStart"/>
                    <w:r>
                      <w:t>derivacijų</w:t>
                    </w:r>
                    <w:proofErr w:type="spellEnd"/>
                    <w:r>
                      <w:t>);</w:t>
                    </w:r>
                  </w:p>
                  <w:p w14:paraId="2BE3F3C8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</w:pPr>
                    <w:r>
                      <w:rPr>
                        <w:lang w:eastAsia="lt-LT"/>
                      </w:rPr>
                      <w:t xml:space="preserve">1.1.8. </w:t>
                    </w:r>
                    <w:proofErr w:type="spellStart"/>
                    <w:r>
                      <w:t>pulsoksimetras</w:t>
                    </w:r>
                    <w:proofErr w:type="spellEnd"/>
                    <w:r>
                      <w:t>;</w:t>
                    </w:r>
                  </w:p>
                  <w:p w14:paraId="630C069D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color w:val="000000"/>
                      </w:rPr>
                    </w:pPr>
                    <w:r>
                      <w:t>1.1.9.</w:t>
                    </w:r>
                    <w:r>
                      <w:rPr>
                        <w:b/>
                        <w:bCs/>
                      </w:rPr>
                      <w:t xml:space="preserve"> </w:t>
                    </w:r>
                    <w:r>
                      <w:rPr>
                        <w:color w:val="000000"/>
                      </w:rPr>
                      <w:t xml:space="preserve">gleivių </w:t>
                    </w:r>
                    <w:proofErr w:type="spellStart"/>
                    <w:r>
                      <w:rPr>
                        <w:color w:val="000000"/>
                      </w:rPr>
                      <w:t>siurbiklis</w:t>
                    </w:r>
                    <w:proofErr w:type="spellEnd"/>
                    <w:r>
                      <w:rPr>
                        <w:color w:val="000000"/>
                      </w:rPr>
                      <w:t>;</w:t>
                    </w:r>
                  </w:p>
                  <w:p w14:paraId="5F668F66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</w:pPr>
                    <w:r>
                      <w:rPr>
                        <w:color w:val="000000"/>
                      </w:rPr>
                      <w:t>1.1.10.</w:t>
                    </w:r>
                    <w:r>
                      <w:t xml:space="preserve"> </w:t>
                    </w:r>
                    <w:proofErr w:type="spellStart"/>
                    <w:r>
                      <w:t>otoskopas</w:t>
                    </w:r>
                    <w:proofErr w:type="spellEnd"/>
                    <w:r>
                      <w:t>;</w:t>
                    </w:r>
                  </w:p>
                  <w:p w14:paraId="7C981823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color w:val="000000"/>
                      </w:rPr>
                    </w:pPr>
                    <w:r>
                      <w:t>1.1.11.</w:t>
                    </w:r>
                    <w:r>
                      <w:rPr>
                        <w:color w:val="000000"/>
                      </w:rPr>
                      <w:t xml:space="preserve"> bendrosios praktikos slaugytojo krepšys;</w:t>
                    </w:r>
                  </w:p>
                  <w:p w14:paraId="71E2FFFB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1.1.12. nešiojamasis kompiuteris;</w:t>
                    </w:r>
                  </w:p>
                  <w:p w14:paraId="2C833765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1.1.13. mobilusis telefonas;</w:t>
                    </w:r>
                  </w:p>
                  <w:p w14:paraId="1A1E7FC0" w14:textId="3B6407BC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</w:rPr>
                      <w:t xml:space="preserve">1.1.14. </w:t>
                    </w:r>
                    <w:proofErr w:type="spellStart"/>
                    <w:r>
                      <w:rPr>
                        <w:color w:val="000000"/>
                      </w:rPr>
                      <w:t>infuz</w:t>
                    </w:r>
                    <w:r>
                      <w:rPr>
                        <w:color w:val="000000"/>
                      </w:rPr>
                      <w:t>omatas</w:t>
                    </w:r>
                    <w:proofErr w:type="spellEnd"/>
                    <w:r>
                      <w:rPr>
                        <w:color w:val="000000"/>
                      </w:rPr>
                      <w:t>;</w:t>
                    </w:r>
                  </w:p>
                  <w:p w14:paraId="40F0F73B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(1 (vienai) ASPN komandai įsigyjamos medicininės ir kitos įrangos vertė negali viršyti 18 400,00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Eur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su PVM.)</w:t>
                    </w:r>
                  </w:p>
                  <w:p w14:paraId="77496E98" w14:textId="77777777" w:rsidR="005B53AA" w:rsidRDefault="00BE27C8">
                    <w:pPr>
                      <w:tabs>
                        <w:tab w:val="left" w:pos="637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1.2. elektromobilis (lengvasis automobilis, M</w:t>
                    </w:r>
                    <w:r>
                      <w:rPr>
                        <w:szCs w:val="24"/>
                        <w:vertAlign w:val="subscript"/>
                        <w:lang w:eastAsia="lt-LT"/>
                      </w:rPr>
                      <w:t>1</w:t>
                    </w:r>
                    <w:r>
                      <w:rPr>
                        <w:szCs w:val="24"/>
                        <w:lang w:eastAsia="lt-LT"/>
                      </w:rPr>
                      <w:t xml:space="preserve"> klasė) ir jo įkrovimo stotelė. 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1 (viena) ASPN komanda gali įsigyti 1 (vieną) elektromobilį </w:t>
                    </w:r>
                    <w:r>
                      <w:rPr>
                        <w:bCs/>
                        <w:szCs w:val="24"/>
                        <w:lang w:eastAsia="lt-LT"/>
                      </w:rPr>
                      <w:t>su įkrovimo stotele (jei yra poreikis).</w:t>
                    </w:r>
                  </w:p>
                  <w:p w14:paraId="5724A717" w14:textId="77777777" w:rsidR="005B53AA" w:rsidRDefault="00BE27C8">
                    <w:pPr>
                      <w:tabs>
                        <w:tab w:val="left" w:pos="1338"/>
                      </w:tabs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 xml:space="preserve">Įsigyjamo elektromobilio su įkrovimo stotele ar be jos vertė negali viršyti 50 000,00 </w:t>
                    </w:r>
                    <w:proofErr w:type="spellStart"/>
                    <w:r>
                      <w:rPr>
                        <w:bCs/>
                        <w:szCs w:val="24"/>
                        <w:lang w:eastAsia="lt-LT"/>
                      </w:rPr>
                      <w:t>Eur</w:t>
                    </w:r>
                    <w:proofErr w:type="spellEnd"/>
                    <w:r>
                      <w:rPr>
                        <w:bCs/>
                        <w:szCs w:val="24"/>
                        <w:lang w:eastAsia="lt-LT"/>
                      </w:rPr>
                      <w:t xml:space="preserve"> su PVM.</w:t>
                    </w:r>
                  </w:p>
                  <w:p w14:paraId="342B1085" w14:textId="77777777" w:rsidR="005B53AA" w:rsidRDefault="005B53AA">
                    <w:pPr>
                      <w:tabs>
                        <w:tab w:val="left" w:pos="1338"/>
                      </w:tabs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</w:p>
                  <w:p w14:paraId="73259F1F" w14:textId="77777777" w:rsidR="005B53AA" w:rsidRDefault="00BE27C8">
                    <w:pPr>
                      <w:tabs>
                        <w:tab w:val="left" w:pos="1338"/>
                      </w:tabs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2. Vykdant Aprašo 2.1.2 papunktį tinkamos finansuoti išlaidos yra:</w:t>
                    </w:r>
                  </w:p>
                  <w:p w14:paraId="05565C2E" w14:textId="77777777" w:rsidR="005B53AA" w:rsidRDefault="00BE27C8">
                    <w:pPr>
                      <w:tabs>
                        <w:tab w:val="left" w:pos="1338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2.1. medicininei ir kitai įrangai, baldams, būtini</w:t>
                    </w:r>
                    <w:r>
                      <w:rPr>
                        <w:bCs/>
                        <w:szCs w:val="24"/>
                        <w:lang w:eastAsia="lt-LT"/>
                      </w:rPr>
                      <w:t xml:space="preserve">ems </w:t>
                    </w:r>
                    <w:proofErr w:type="spellStart"/>
                    <w:r>
                      <w:rPr>
                        <w:color w:val="000000"/>
                        <w:szCs w:val="24"/>
                      </w:rPr>
                      <w:t>paliatyviosios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 xml:space="preserve"> pagalbos dienos centro suaugusiesiems arba </w:t>
                    </w:r>
                    <w:proofErr w:type="spellStart"/>
                    <w:r>
                      <w:rPr>
                        <w:color w:val="000000"/>
                        <w:szCs w:val="24"/>
                      </w:rPr>
                      <w:t>paliatyviosios</w:t>
                    </w:r>
                    <w:proofErr w:type="spellEnd"/>
                    <w:r>
                      <w:rPr>
                        <w:color w:val="000000"/>
                        <w:szCs w:val="24"/>
                      </w:rPr>
                      <w:t xml:space="preserve"> pagalbos dienos centro vaikams veiklai;</w:t>
                    </w:r>
                  </w:p>
                  <w:p w14:paraId="5D1B042F" w14:textId="77777777" w:rsidR="005B53AA" w:rsidRDefault="00BE27C8">
                    <w:pPr>
                      <w:tabs>
                        <w:tab w:val="left" w:pos="1338"/>
                      </w:tabs>
                      <w:jc w:val="both"/>
                      <w:rPr>
                        <w:color w:val="000000"/>
                        <w:szCs w:val="24"/>
                      </w:rPr>
                    </w:pPr>
                    <w:r>
                      <w:rPr>
                        <w:color w:val="000000"/>
                        <w:szCs w:val="24"/>
                      </w:rPr>
                      <w:t xml:space="preserve">2.2. </w:t>
                    </w:r>
                    <w:r>
                      <w:rPr>
                        <w:szCs w:val="24"/>
                        <w:lang w:eastAsia="lt-LT"/>
                      </w:rPr>
                      <w:t>elektromobiliui (lengvasis automobilis, M</w:t>
                    </w:r>
                    <w:r>
                      <w:rPr>
                        <w:szCs w:val="24"/>
                        <w:vertAlign w:val="subscript"/>
                        <w:lang w:eastAsia="lt-LT"/>
                      </w:rPr>
                      <w:t>1</w:t>
                    </w:r>
                    <w:r>
                      <w:rPr>
                        <w:szCs w:val="24"/>
                        <w:lang w:eastAsia="lt-LT"/>
                      </w:rPr>
                      <w:t xml:space="preserve"> klasė, arba </w:t>
                    </w:r>
                    <w:r>
                      <w:rPr>
                        <w:color w:val="000000"/>
                        <w:szCs w:val="24"/>
                      </w:rPr>
                      <w:t>autobusas, M</w:t>
                    </w:r>
                    <w:r>
                      <w:rPr>
                        <w:color w:val="000000"/>
                        <w:szCs w:val="24"/>
                        <w:vertAlign w:val="subscript"/>
                      </w:rPr>
                      <w:t>2</w:t>
                    </w:r>
                    <w:r>
                      <w:rPr>
                        <w:color w:val="000000"/>
                        <w:szCs w:val="24"/>
                      </w:rPr>
                      <w:t xml:space="preserve"> klasė</w:t>
                    </w:r>
                    <w:r>
                      <w:rPr>
                        <w:szCs w:val="24"/>
                        <w:lang w:eastAsia="lt-LT"/>
                      </w:rPr>
                      <w:t xml:space="preserve">), kuris turi būti </w:t>
                    </w:r>
                    <w:r>
                      <w:rPr>
                        <w:color w:val="000000"/>
                        <w:szCs w:val="24"/>
                      </w:rPr>
                      <w:t>skirtas asmenims pavėžėti į ilgalaikės pr</w:t>
                    </w:r>
                    <w:r>
                      <w:rPr>
                        <w:color w:val="000000"/>
                        <w:szCs w:val="24"/>
                      </w:rPr>
                      <w:t>iežiūros dienos centrą ar iš jo ir turi būti pritaikytas specialiųjų poreikių turintiems asmenims vežioti,</w:t>
                    </w:r>
                    <w:r>
                      <w:rPr>
                        <w:szCs w:val="24"/>
                        <w:lang w:eastAsia="lt-LT"/>
                      </w:rPr>
                      <w:t xml:space="preserve"> ir jo įkrovimo stotelei (jei yra poreikis).</w:t>
                    </w:r>
                  </w:p>
                  <w:p w14:paraId="707C771B" w14:textId="77777777" w:rsidR="005B53AA" w:rsidRDefault="00BE27C8">
                    <w:pPr>
                      <w:jc w:val="both"/>
                      <w:rPr>
                        <w:bCs/>
                        <w:szCs w:val="24"/>
                        <w:lang w:eastAsia="lt-LT"/>
                      </w:rPr>
                    </w:pPr>
                    <w:r>
                      <w:rPr>
                        <w:bCs/>
                        <w:szCs w:val="24"/>
                        <w:lang w:eastAsia="lt-LT"/>
                      </w:rPr>
                      <w:t>1 (vienas) elektromobilis ir jo įkrovimo stotelė gali būti įsigyjami 1 (vienam) ilgalaikės priežiūros die</w:t>
                    </w:r>
                    <w:r>
                      <w:rPr>
                        <w:bCs/>
                        <w:szCs w:val="24"/>
                        <w:lang w:eastAsia="lt-LT"/>
                      </w:rPr>
                      <w:t>nos centrui.</w:t>
                    </w:r>
                  </w:p>
                  <w:p w14:paraId="71F2468F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</w:rPr>
                      <w:t>Aprašo 2.1.2 veiklai skiriama didžiausia tinkamų finansuoti išlaidų suma nurodyta Aprašo 2 priede.</w:t>
                    </w:r>
                  </w:p>
                </w:tc>
              </w:tr>
              <w:tr w:rsidR="005B53AA" w14:paraId="0CBC4283" w14:textId="77777777">
                <w:trPr>
                  <w:trHeight w:val="1824"/>
                </w:trPr>
                <w:tc>
                  <w:tcPr>
                    <w:tcW w:w="2694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2014E9D5" w14:textId="77777777" w:rsidR="005B53AA" w:rsidRDefault="005B53AA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5D5B5F47" w14:textId="77777777" w:rsidR="005B53AA" w:rsidRDefault="00BE27C8">
                    <w:pPr>
                      <w:tabs>
                        <w:tab w:val="left" w:pos="1338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 Vykdant Aprašo 2.1.1 ir 2.1.2 papunkčiuose nurodytas veiklas, netinkamos finansuoti išlaidos:</w:t>
                    </w:r>
                  </w:p>
                  <w:p w14:paraId="15630AE6" w14:textId="77777777" w:rsidR="005B53AA" w:rsidRDefault="00BE27C8">
                    <w:pPr>
                      <w:tabs>
                        <w:tab w:val="left" w:pos="1338"/>
                      </w:tabs>
                      <w:ind w:left="631" w:hanging="656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 xml:space="preserve">3.1. transporto priemonių lizingui </w:t>
                    </w:r>
                    <w:r>
                      <w:rPr>
                        <w:bCs/>
                        <w:color w:val="000000"/>
                        <w:szCs w:val="24"/>
                      </w:rPr>
                      <w:t>(finansinei nuomai), transporto priemonės eksploatavimui ir susijusioms išlaidoms;</w:t>
                    </w:r>
                  </w:p>
                  <w:p w14:paraId="13A5E6CF" w14:textId="77777777" w:rsidR="005B53AA" w:rsidRDefault="00BE27C8">
                    <w:pPr>
                      <w:tabs>
                        <w:tab w:val="left" w:pos="1338"/>
                      </w:tabs>
                      <w:ind w:left="720" w:hanging="72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3.2. naudojamo ilgalaikio turto nusidėvėjimo (amortizacijos) sąnaudoms;</w:t>
                    </w:r>
                  </w:p>
                  <w:p w14:paraId="5E945117" w14:textId="77777777" w:rsidR="005B53AA" w:rsidRDefault="00BE27C8">
                    <w:pPr>
                      <w:tabs>
                        <w:tab w:val="left" w:pos="1338"/>
                      </w:tabs>
                      <w:ind w:left="720" w:hanging="720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3.3. vienkartinėms priemonėms, higienos prekėms ir kitoms panašioms paslaugoms teikti reikalingoms pr</w:t>
                    </w:r>
                    <w:r>
                      <w:rPr>
                        <w:bCs/>
                        <w:color w:val="000000"/>
                        <w:szCs w:val="24"/>
                      </w:rPr>
                      <w:t>iemonėms;</w:t>
                    </w:r>
                  </w:p>
                  <w:p w14:paraId="7AF7BA8A" w14:textId="77777777" w:rsidR="005B53AA" w:rsidRDefault="00BE27C8">
                    <w:pPr>
                      <w:tabs>
                        <w:tab w:val="left" w:pos="1338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</w:rPr>
                      <w:t>3.4. kitos išlaidos, vadovaujantis „Rekomendacijų dėl projektų išlaidų atitikties Europos Sąjungos fondų reikalavimams“ 4 skyriumi.</w:t>
                    </w:r>
                  </w:p>
                </w:tc>
              </w:tr>
              <w:tr w:rsidR="005B53AA" w14:paraId="16A4C32A" w14:textId="77777777"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2D50512A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Projekto vykdymas</w:t>
                    </w: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7D468D39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Investicijų projekto rengimo, projektų įgyvendinimo planų rengimo išlaidos yra netinkamos </w:t>
                    </w:r>
                    <w:r>
                      <w:rPr>
                        <w:szCs w:val="24"/>
                        <w:lang w:eastAsia="lt-LT"/>
                      </w:rPr>
                      <w:t>finansuoti projekto lėšomis.</w:t>
                    </w:r>
                  </w:p>
                </w:tc>
              </w:tr>
              <w:tr w:rsidR="005B53AA" w14:paraId="724EE56E" w14:textId="77777777"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49DFD4AF" w14:textId="77777777" w:rsidR="005B53AA" w:rsidRDefault="00BE27C8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Informavimas apie projektą </w:t>
                    </w: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2AEF20C8" w14:textId="77777777" w:rsidR="005B53AA" w:rsidRDefault="00BE27C8">
                    <w:pPr>
                      <w:tabs>
                        <w:tab w:val="left" w:pos="993"/>
                        <w:tab w:val="left" w:pos="14055"/>
                      </w:tabs>
                      <w:ind w:left="33" w:right="294"/>
                      <w:jc w:val="both"/>
                      <w:rPr>
                        <w:rFonts w:eastAsia="Calibri"/>
                        <w:iCs/>
                        <w:szCs w:val="24"/>
                      </w:rPr>
                    </w:pPr>
                    <w:r>
                      <w:rPr>
                        <w:rFonts w:eastAsia="Calibri"/>
                        <w:iCs/>
                        <w:szCs w:val="24"/>
                        <w:lang w:eastAsia="lt-LT"/>
                      </w:rPr>
                      <w:t xml:space="preserve">Projektui </w:t>
                    </w:r>
                    <w:r>
                      <w:rPr>
                        <w:iCs/>
                        <w:szCs w:val="24"/>
                      </w:rPr>
                      <w:t>taikomi supaprastintai apmokamų išlaidų dydžiai.</w:t>
                    </w:r>
                  </w:p>
                  <w:p w14:paraId="32C95F04" w14:textId="77777777" w:rsidR="005B53AA" w:rsidRDefault="00BE27C8">
                    <w:pPr>
                      <w:tabs>
                        <w:tab w:val="left" w:pos="993"/>
                        <w:tab w:val="left" w:pos="14055"/>
                      </w:tabs>
                      <w:ind w:left="33" w:right="294"/>
                      <w:jc w:val="both"/>
                      <w:rPr>
                        <w:rFonts w:eastAsia="Calibri"/>
                        <w:iCs/>
                        <w:szCs w:val="24"/>
                      </w:rPr>
                    </w:pPr>
                    <w:r>
                      <w:rPr>
                        <w:szCs w:val="24"/>
                      </w:rPr>
                      <w:t>Pagal Aprašą tinkamos finansuoti tik privalomos informavimo apie projektą priemonės bei priemonės, nurodytos Aprašo 12.2 p</w:t>
                    </w:r>
                    <w:r>
                      <w:rPr>
                        <w:rFonts w:eastAsia="Calibri"/>
                        <w:iCs/>
                        <w:szCs w:val="24"/>
                      </w:rPr>
                      <w:t>apunktyje.</w:t>
                    </w:r>
                  </w:p>
                </w:tc>
              </w:tr>
              <w:tr w:rsidR="005B53AA" w14:paraId="5FE40550" w14:textId="77777777">
                <w:tc>
                  <w:tcPr>
                    <w:tcW w:w="269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  <w:hideMark/>
                  </w:tcPr>
                  <w:p w14:paraId="57C4AA04" w14:textId="77777777" w:rsidR="005B53AA" w:rsidRDefault="00BE27C8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Netiesioginės išlaidos ir kitos išlaidos pagal fiksuotąją projekto išlaidų normą</w:t>
                    </w:r>
                  </w:p>
                </w:tc>
                <w:tc>
                  <w:tcPr>
                    <w:tcW w:w="1193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FFFFFF"/>
                    <w:vAlign w:val="center"/>
                  </w:tcPr>
                  <w:p w14:paraId="2EBB3B70" w14:textId="6E6E8F8A" w:rsidR="005B53AA" w:rsidRDefault="00BE27C8">
                    <w:pPr>
                      <w:jc w:val="both"/>
                      <w:rPr>
                        <w:szCs w:val="24"/>
                        <w:highlight w:val="yellow"/>
                        <w:lang w:eastAsia="lt-LT"/>
                      </w:rPr>
                    </w:pPr>
                    <w:r>
                      <w:rPr>
                        <w:rFonts w:eastAsia="Calibri"/>
                        <w:iCs/>
                        <w:szCs w:val="24"/>
                        <w:lang w:eastAsia="lt-LT"/>
                      </w:rPr>
                      <w:t>Projektui taikoma fiksuotoji projekto išlaidų norma – 7 proc.“</w:t>
                    </w:r>
                  </w:p>
                </w:tc>
              </w:tr>
            </w:tbl>
            <w:p w14:paraId="04DD9F27" w14:textId="77777777" w:rsidR="005B53AA" w:rsidRDefault="005B53AA">
              <w:pPr>
                <w:tabs>
                  <w:tab w:val="left" w:pos="7371"/>
                </w:tabs>
                <w:spacing w:line="276" w:lineRule="auto"/>
                <w:jc w:val="center"/>
                <w:rPr>
                  <w:szCs w:val="24"/>
                </w:rPr>
              </w:pPr>
              <w:bookmarkStart w:id="0" w:name="_GoBack"/>
              <w:bookmarkEnd w:id="0"/>
            </w:p>
            <w:p w14:paraId="1C89B069" w14:textId="77777777" w:rsidR="005B53AA" w:rsidRDefault="005B53AA">
              <w:pPr>
                <w:tabs>
                  <w:tab w:val="left" w:pos="7371"/>
                </w:tabs>
                <w:spacing w:line="276" w:lineRule="auto"/>
                <w:jc w:val="center"/>
                <w:rPr>
                  <w:szCs w:val="24"/>
                </w:rPr>
              </w:pPr>
            </w:p>
            <w:p w14:paraId="0BAACC30" w14:textId="77777777" w:rsidR="005B53AA" w:rsidRDefault="005B53AA">
              <w:pPr>
                <w:tabs>
                  <w:tab w:val="left" w:pos="7371"/>
                </w:tabs>
                <w:spacing w:line="276" w:lineRule="auto"/>
                <w:jc w:val="center"/>
                <w:rPr>
                  <w:szCs w:val="24"/>
                </w:rPr>
              </w:pPr>
            </w:p>
            <w:p w14:paraId="5BA2A599" w14:textId="19797E03" w:rsidR="005B53AA" w:rsidRDefault="00BE27C8" w:rsidP="00BE27C8">
              <w:pPr>
                <w:tabs>
                  <w:tab w:val="left" w:pos="13041"/>
                </w:tabs>
                <w:spacing w:line="276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</w:sdtContent>
        </w:sdt>
      </w:sdtContent>
    </w:sdt>
    <w:sectPr w:rsidR="005B53AA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38" w:h="11906" w:orient="landscape" w:code="9"/>
      <w:pgMar w:top="1135" w:right="1560" w:bottom="1418" w:left="709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94F48D" w14:textId="77777777" w:rsidR="005B53AA" w:rsidRDefault="00BE27C8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34A4651" w14:textId="77777777" w:rsidR="005B53AA" w:rsidRDefault="00BE27C8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EEF244" w14:textId="77777777" w:rsidR="005B53AA" w:rsidRDefault="005B53A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7BD72" w14:textId="77777777" w:rsidR="005B53AA" w:rsidRDefault="005B53A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5B53AA" w:rsidRDefault="005B53AA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5B53AA" w:rsidRDefault="005B53AA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679708" w14:textId="77777777" w:rsidR="005B53AA" w:rsidRDefault="00BE27C8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1414D47D" w14:textId="77777777" w:rsidR="005B53AA" w:rsidRDefault="00BE27C8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41F9F3C" w:rsidR="005B53AA" w:rsidRDefault="00BE27C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1</w:t>
    </w:r>
    <w:r>
      <w:rPr>
        <w:szCs w:val="24"/>
      </w:rPr>
      <w:fldChar w:fldCharType="end"/>
    </w:r>
  </w:p>
  <w:p w14:paraId="14D1BD74" w14:textId="77777777" w:rsidR="005B53AA" w:rsidRDefault="005B53A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7675E9DF" w:rsidR="005B53AA" w:rsidRDefault="00BE27C8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4</w:t>
    </w:r>
    <w:r>
      <w:rPr>
        <w:szCs w:val="24"/>
      </w:rPr>
      <w:fldChar w:fldCharType="end"/>
    </w:r>
  </w:p>
  <w:p w14:paraId="0FB59E09" w14:textId="77777777" w:rsidR="005B53AA" w:rsidRDefault="005B53A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1ADF1097" w:rsidR="005B53AA" w:rsidRDefault="005B53A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5B53AA"/>
    <w:rsid w:val="00BE27C8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4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4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1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3bd5a105490b4d04a5c755812207a306" PartId="ce5981972b4b43f6b1cdb3a91b333aa8">
    <Part Type="preambule" DocPartId="cebd33d226144724b6f96258479ef915" PartId="ced323876695439da78d4b0702ad36a6"/>
    <Part Type="punktas" Nr="1" Abbr="1 p." DocPartId="8138023388b7449bbf8c86259eec4009" PartId="859eb2795b564852869227279e7b62bc">
      <Part Type="citata" DocPartId="2aa0a7071df64525a4a6c48547cff7eb" PartId="18b470fe91fd4590b11933f658f4104c">
        <Part Type="papunktis" Nr="2.3" Abbr="2.3 pp." DocPartId="43e9aec03adc47a2a9315e875e3881cb" PartId="b895cd3282bf4f9d9dd3db3bce8f3574"/>
      </Part>
    </Part>
    <Part Type="punktas" Nr="2" Abbr="2 p." DocPartId="d9eca6126cb94781991acde6d12ae648" PartId="e1a26978b0a94294861494f8a4447122">
      <Part Type="citata" DocPartId="1da32e4e9b0c4199a1272a7c56fd6328" PartId="4841ca2818044d6ba0c0283be04cadad">
        <Part Type="papunktis" Nr="2.4.3" Abbr="2.4.3 pp." DocPartId="d146031512424df189e8937579d50c1e" PartId="5c3e7c036411445c8803f9c9c4334e8c"/>
      </Part>
    </Part>
    <Part Type="punktas" Nr="3" Abbr="3 p." DocPartId="6eaaa5fc6954410eb999f229ff02e7e2" PartId="9cc0055e4ce642449daa0b1e1613b2a3">
      <Part Type="citata" DocPartId="e6a805a767274529ba4981b26b0278cf" PartId="979bb48b4faf4b56b73ed9295955a1cd">
        <Part Type="papunktis" Nr="2.4.4" Abbr="2.4.4 pp." DocPartId="55355bd9883f46af8fb9f9251a701257" PartId="db9d0ed1a2244ae99aa1c3f28e57ca12"/>
      </Part>
    </Part>
    <Part Type="punktas" Nr="4" Abbr="4 p." DocPartId="995cbe2bbbe04555a3b3d6f7172688f8" PartId="49eddad68bd749d09233c09be4a3f6f9">
      <Part Type="citata" DocPartId="83f5b7e07445474c8884f3fc892c4c1b" PartId="01a53bd3f6de4b9cbf6413bc216339e8">
        <Part Type="papunktis" Nr="13.2" Abbr="13.2 pp." DocPartId="d98092bb202e4d7c950dff70c3f0e3cc" PartId="0bddb4c87bc14bd385883c0f6f5f8601"/>
      </Part>
    </Part>
    <Part Type="signatura" DocPartId="a7a559d0557046aeb5c05ea622cda1d5" PartId="a1af8b0c101b448080d3183ad9f6a915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52FFC0-6668-46AE-971F-700EBA7FE2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6654142-F3F3-48FB-9014-A4332985F1CF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3.xml><?xml version="1.0" encoding="utf-8"?>
<ds:datastoreItem xmlns:ds="http://schemas.openxmlformats.org/officeDocument/2006/customXml" ds:itemID="{47983BA8-E516-41D4-B33B-292C3B0DE12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B5C337-F46A-41E8-9504-BF18E150200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20A0D1D-6B9A-4379-A043-2AB070C97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4213</Words>
  <Characters>2402</Characters>
  <Application>Microsoft Office Word</Application>
  <DocSecurity>0</DocSecurity>
  <Lines>20</Lines>
  <Paragraphs>13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JUOSPONIENĖ Karolina</cp:lastModifiedBy>
  <cp:revision>3</cp:revision>
  <dcterms:created xsi:type="dcterms:W3CDTF">2023-11-22T16:21:00Z</dcterms:created>
  <dcterms:modified xsi:type="dcterms:W3CDTF">2023-11-22T17:23:00Z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