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5124" w14:textId="3F1554A9" w:rsidR="00A47EFB" w:rsidRDefault="00EC2AEC" w:rsidP="00EC2AEC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3B1CBA42" wp14:editId="6E677307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B5125" w14:textId="77777777" w:rsidR="00A47EFB" w:rsidRDefault="00EC2AEC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4A7B5126" w14:textId="77777777" w:rsidR="00A47EFB" w:rsidRDefault="00A47EFB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4A7B5127" w14:textId="77777777" w:rsidR="00A47EFB" w:rsidRDefault="00EC2AE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A7B5128" w14:textId="77777777" w:rsidR="00A47EFB" w:rsidRDefault="00EC2AEC">
      <w:pPr>
        <w:overflowPunct w:val="0"/>
        <w:jc w:val="center"/>
        <w:textAlignment w:val="baseline"/>
        <w:rPr>
          <w:b/>
        </w:rPr>
      </w:pPr>
      <w:r>
        <w:rPr>
          <w:b/>
          <w:caps/>
        </w:rPr>
        <w:t xml:space="preserve">DĖL </w:t>
      </w:r>
      <w:r>
        <w:rPr>
          <w:b/>
          <w:lang w:val="en-GB"/>
        </w:rPr>
        <w:t xml:space="preserve">ŽEMĖS ŪKIO MINISTRO 2004 M. </w:t>
      </w:r>
      <w:proofErr w:type="gramStart"/>
      <w:r>
        <w:rPr>
          <w:b/>
          <w:lang w:val="en-GB"/>
        </w:rPr>
        <w:t>GRUODŽIO 20 D. ĮSAKYMO NR.</w:t>
      </w:r>
      <w:proofErr w:type="gramEnd"/>
      <w:r>
        <w:rPr>
          <w:b/>
          <w:lang w:val="en-GB"/>
        </w:rPr>
        <w:t xml:space="preserve"> 3D-671 „DĖL APMOKĖJIMO UŽ PIENO TYRIMUS VALSTYBĖS ĮMONEI „PIENO </w:t>
      </w:r>
      <w:r>
        <w:rPr>
          <w:b/>
          <w:lang w:val="en-GB"/>
        </w:rPr>
        <w:t>TYRIMAI</w:t>
      </w:r>
      <w:proofErr w:type="gramStart"/>
      <w:r>
        <w:rPr>
          <w:b/>
          <w:lang w:val="en-GB"/>
        </w:rPr>
        <w:t>“ PAKEITIMO</w:t>
      </w:r>
      <w:proofErr w:type="gramEnd"/>
    </w:p>
    <w:p w14:paraId="4A7B512A" w14:textId="77777777" w:rsidR="00A47EFB" w:rsidRDefault="00A47EFB">
      <w:pPr>
        <w:overflowPunct w:val="0"/>
        <w:jc w:val="center"/>
        <w:textAlignment w:val="baseline"/>
      </w:pPr>
    </w:p>
    <w:p w14:paraId="4A7B512B" w14:textId="77777777" w:rsidR="00A47EFB" w:rsidRDefault="00EC2AEC">
      <w:pPr>
        <w:overflowPunct w:val="0"/>
        <w:spacing w:line="360" w:lineRule="auto"/>
        <w:jc w:val="center"/>
        <w:textAlignment w:val="baseline"/>
      </w:pPr>
      <w:r>
        <w:t>2018 m. lapkričio 12 d. Nr. 3D-799</w:t>
      </w:r>
    </w:p>
    <w:p w14:paraId="4A7B512C" w14:textId="77777777" w:rsidR="00A47EFB" w:rsidRDefault="00EC2AEC" w:rsidP="00EC2AEC">
      <w:pPr>
        <w:overflowPunct w:val="0"/>
        <w:spacing w:line="360" w:lineRule="auto"/>
        <w:jc w:val="center"/>
        <w:textAlignment w:val="baseline"/>
      </w:pPr>
      <w:r>
        <w:t>Vilnius</w:t>
      </w:r>
    </w:p>
    <w:p w14:paraId="4A7B512D" w14:textId="77777777" w:rsidR="00A47EFB" w:rsidRDefault="00A47EFB">
      <w:pPr>
        <w:overflowPunct w:val="0"/>
        <w:jc w:val="center"/>
        <w:textAlignment w:val="baseline"/>
      </w:pPr>
    </w:p>
    <w:p w14:paraId="5815FC70" w14:textId="77777777" w:rsidR="00EC2AEC" w:rsidRDefault="00EC2AEC">
      <w:pPr>
        <w:overflowPunct w:val="0"/>
        <w:jc w:val="center"/>
        <w:textAlignment w:val="baseline"/>
      </w:pPr>
    </w:p>
    <w:p w14:paraId="4A7B512E" w14:textId="77777777" w:rsidR="00A47EFB" w:rsidRDefault="00EC2AEC">
      <w:pPr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</w:t>
      </w:r>
      <w:r>
        <w:t xml:space="preserve">Lietuvos Respublikos žemės ūkio ministro </w:t>
      </w:r>
      <w:smartTag w:uri="schemas-tilde-lv/tildestengine" w:element="metric2">
        <w:smartTagPr>
          <w:attr w:name="metric_value" w:val="2004"/>
          <w:attr w:name="metric_text" w:val="m"/>
        </w:smartTagPr>
        <w:smartTag w:uri="urn:schemas-microsoft-com:office:smarttags" w:element="metricconverter">
          <w:smartTagPr>
            <w:attr w:name="ProductID" w:val="2004 M"/>
          </w:smartTagPr>
          <w:r>
            <w:t>2004 m</w:t>
          </w:r>
        </w:smartTag>
      </w:smartTag>
      <w:r>
        <w:t xml:space="preserve">. gruodžio 20 d. įsakymą Nr. 3D-671 „Dėl apmokėjimo už pieno tyrimus valstybės įmonei „Pieno tyrimai“ ir jį išdėstau nauja </w:t>
      </w:r>
      <w:r>
        <w:t>redakcija:</w:t>
      </w:r>
    </w:p>
    <w:p w14:paraId="4A7B512F" w14:textId="77777777" w:rsidR="00A47EFB" w:rsidRDefault="00EC2AE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„LIETUVOS RESPUBLIKOS ŽEMĖS ŪKIO MINISTRAS</w:t>
      </w:r>
    </w:p>
    <w:p w14:paraId="4A7B5130" w14:textId="77777777" w:rsidR="00A47EFB" w:rsidRDefault="00A47EFB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4A7B5131" w14:textId="77777777" w:rsidR="00A47EFB" w:rsidRDefault="00EC2AEC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4A7B5132" w14:textId="77777777" w:rsidR="00A47EFB" w:rsidRDefault="00EC2AEC">
      <w:pPr>
        <w:suppressAutoHyphens/>
        <w:jc w:val="center"/>
        <w:textAlignment w:val="center"/>
        <w:rPr>
          <w:b/>
          <w:lang w:val="en-GB"/>
        </w:rPr>
      </w:pPr>
      <w:r>
        <w:rPr>
          <w:b/>
          <w:lang w:val="en-GB"/>
        </w:rPr>
        <w:t xml:space="preserve">DĖL </w:t>
      </w:r>
      <w:r>
        <w:rPr>
          <w:b/>
        </w:rPr>
        <w:t>APMOKĖJIMO UŽ PIENO TYRIMUS UŽDARAJAI AKCINEI BENDROVEI „PIENO TYRIMAI“</w:t>
      </w:r>
    </w:p>
    <w:p w14:paraId="4A7B5133" w14:textId="77777777" w:rsidR="00A47EFB" w:rsidRDefault="00A47EFB">
      <w:pPr>
        <w:overflowPunct w:val="0"/>
        <w:spacing w:line="360" w:lineRule="auto"/>
        <w:jc w:val="both"/>
        <w:textAlignment w:val="baseline"/>
      </w:pPr>
    </w:p>
    <w:p w14:paraId="4A7B5134" w14:textId="77777777" w:rsidR="00A47EFB" w:rsidRDefault="00EC2AEC">
      <w:pPr>
        <w:overflowPunct w:val="0"/>
        <w:spacing w:line="360" w:lineRule="auto"/>
        <w:ind w:firstLine="720"/>
        <w:jc w:val="both"/>
      </w:pPr>
      <w:r>
        <w:rPr>
          <w:szCs w:val="24"/>
        </w:rPr>
        <w:t>Vadovaudamasis Lietuvos Respublikos ūkio subjektų, perkančių–parduodančių žalią pieną ir prekiaujančių pieno gamini</w:t>
      </w:r>
      <w:r>
        <w:rPr>
          <w:szCs w:val="24"/>
        </w:rPr>
        <w:t>ais, nesąžiningų veiksmų draudimo įstatymo 3 straipsnio 3 dalies 5 punktu bei atsižvelgdamas į Pieno supirkimo taisyklių, patvirtintų Lietuvos Respublikos žemės ūkio ministro 2001 m. gegužės 9 d. įsakymu Nr. 146 „Dėl Pieno supirkimo taisyklių patvirtinimo“</w:t>
      </w:r>
      <w:r>
        <w:rPr>
          <w:szCs w:val="24"/>
        </w:rPr>
        <w:t xml:space="preserve"> (toliau – Pieno supirkimo taisyklės), nuostatas:</w:t>
      </w:r>
    </w:p>
    <w:p w14:paraId="4A7B5135" w14:textId="77777777" w:rsidR="00A47EFB" w:rsidRDefault="00EC2AE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t>1</w:t>
      </w:r>
      <w:r>
        <w:t xml:space="preserve">. Į g a l i o j u  </w:t>
      </w:r>
      <w:r>
        <w:rPr>
          <w:color w:val="000000"/>
          <w:szCs w:val="24"/>
          <w:lang w:eastAsia="lt-LT"/>
        </w:rPr>
        <w:t>uždarąją akcinę bendrovę „Pieno tyrimai“ (toliau – UAB „Pieno tyrimai“) tirti parduodamo perdirbti pieno mėginius pagal Pieno supirkimo taisyklių reikalavimus ir periodiškumą.</w:t>
      </w:r>
    </w:p>
    <w:p w14:paraId="4A7B5136" w14:textId="77777777" w:rsidR="00A47EFB" w:rsidRDefault="00EC2AE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 xml:space="preserve"> N u s t a t a u:</w:t>
      </w:r>
    </w:p>
    <w:p w14:paraId="4A7B5137" w14:textId="77777777" w:rsidR="00A47EFB" w:rsidRDefault="00EC2AEC">
      <w:pPr>
        <w:overflowPunct w:val="0"/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privalomiesiems pieno tyrimams apmokėti sudėtinio pieno riebalų, baltymų, somatinių ląstelių tyrimo kainos (procentais už tyrimą) paskirstymą taip: riebalų – 34 proc., baltymų – 33 proc., somatinių ląstelių – 33 proc. Šis paskirsty</w:t>
      </w:r>
      <w:r>
        <w:rPr>
          <w:color w:val="000000"/>
          <w:szCs w:val="24"/>
          <w:lang w:eastAsia="lt-LT"/>
        </w:rPr>
        <w:t>mas netaikomas atliekant papildomuosius tyrimus;</w:t>
      </w:r>
    </w:p>
    <w:p w14:paraId="4A7B5138" w14:textId="77777777" w:rsidR="00A47EFB" w:rsidRDefault="00EC2AE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 xml:space="preserve">. pieno tyrimų (už pirmiausia atliktus privalomuosius pieno tyrimus) apmokėjimą per mėnesį: </w:t>
      </w:r>
    </w:p>
    <w:p w14:paraId="4A7B5139" w14:textId="77777777" w:rsidR="00A47EFB" w:rsidRDefault="00EC2AE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2.2.1</w:t>
      </w:r>
      <w:r>
        <w:rPr>
          <w:color w:val="000000"/>
          <w:szCs w:val="24"/>
          <w:lang w:eastAsia="lt-LT"/>
        </w:rPr>
        <w:t>. pieno perdirbimo (supirkimo) įmonės apmoka 1,5 riebalų, 1,5 baltymų, 0,5 somatinių ląstelių ir 2 b</w:t>
      </w:r>
      <w:r>
        <w:rPr>
          <w:color w:val="000000"/>
          <w:szCs w:val="24"/>
          <w:lang w:eastAsia="lt-LT"/>
        </w:rPr>
        <w:t>endro bakterijų skaičiaus tyrimus už vieno pardavėjo (pieno gamintojo) tirtą pieną;</w:t>
      </w:r>
    </w:p>
    <w:p w14:paraId="4A7B513A" w14:textId="77777777" w:rsidR="00A47EFB" w:rsidRDefault="00EC2AE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2.2.2</w:t>
      </w:r>
      <w:r>
        <w:rPr>
          <w:color w:val="000000"/>
          <w:szCs w:val="24"/>
          <w:lang w:eastAsia="lt-LT"/>
        </w:rPr>
        <w:t>. pardavėjai (pieno gamintojai) apmoka 1,5 riebalų, 1,5 baltymų ir 0,5 somatinių ląstelių tyrimus.</w:t>
      </w:r>
    </w:p>
    <w:p w14:paraId="4A7B513B" w14:textId="77777777" w:rsidR="00A47EFB" w:rsidRDefault="00EC2AE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</w:t>
      </w:r>
      <w:r>
        <w:rPr>
          <w:color w:val="000000"/>
          <w:szCs w:val="24"/>
          <w:lang w:eastAsia="lt-LT"/>
        </w:rPr>
        <w:t>. atsiskaitymo už tyrimus tvarką:</w:t>
      </w:r>
    </w:p>
    <w:p w14:paraId="4A7B513C" w14:textId="77777777" w:rsidR="00A47EFB" w:rsidRDefault="00EC2AE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2.3.1</w:t>
      </w:r>
      <w:r>
        <w:rPr>
          <w:color w:val="000000"/>
          <w:szCs w:val="24"/>
          <w:lang w:eastAsia="lt-LT"/>
        </w:rPr>
        <w:t xml:space="preserve">. už </w:t>
      </w:r>
      <w:r>
        <w:rPr>
          <w:color w:val="000000"/>
          <w:szCs w:val="24"/>
          <w:lang w:eastAsia="lt-LT"/>
        </w:rPr>
        <w:t>papildomus tyrimus apmoka juos inicijavusi šalis; už bendro pieno talpyklų mėginio tyrimus – pieno perdirbimo (supirkimo) įmonės;</w:t>
      </w:r>
    </w:p>
    <w:p w14:paraId="4A7B513D" w14:textId="77777777" w:rsidR="00A47EFB" w:rsidRDefault="00EC2AE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2.3.2</w:t>
      </w:r>
      <w:r>
        <w:rPr>
          <w:color w:val="000000"/>
          <w:szCs w:val="24"/>
          <w:lang w:eastAsia="lt-LT"/>
        </w:rPr>
        <w:t>. pieno perdirbimo (supirkimo) įmonės iš pieno pardavėjų išskaičiuotas ir pačiai įmonei mokėti už tyrimus priklausanč</w:t>
      </w:r>
      <w:r>
        <w:rPr>
          <w:color w:val="000000"/>
          <w:szCs w:val="24"/>
          <w:lang w:eastAsia="lt-LT"/>
        </w:rPr>
        <w:t>ias lėšas perveda UAB „Pieno tyrimai“ kas mėnesį iki kito mėnesio 25 dienos;</w:t>
      </w:r>
    </w:p>
    <w:p w14:paraId="4A7B513E" w14:textId="77777777" w:rsidR="00A47EFB" w:rsidRDefault="00EC2AE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2.3.3</w:t>
      </w:r>
      <w:r>
        <w:rPr>
          <w:color w:val="000000"/>
          <w:szCs w:val="24"/>
          <w:lang w:eastAsia="lt-LT"/>
        </w:rPr>
        <w:t>. UAB „Pieno tyrimai“ nutraukia pieno tyrimus pieno perdirbimo (supirkimo) įmonėms, nustatytu laiku neatsiskaičiusioms už atliktus darbus, ir apie tai nedelsdama informuo</w:t>
      </w:r>
      <w:r>
        <w:rPr>
          <w:color w:val="000000"/>
          <w:szCs w:val="24"/>
          <w:lang w:eastAsia="lt-LT"/>
        </w:rPr>
        <w:t>ja Valstybinę maisto ir veterinarijos tarnybą ir Lietuvos Respublikos žemės ūkio ministeriją;</w:t>
      </w:r>
    </w:p>
    <w:p w14:paraId="4A7B513F" w14:textId="77777777" w:rsidR="00A47EFB" w:rsidRDefault="00EC2AEC">
      <w:pPr>
        <w:spacing w:line="360" w:lineRule="auto"/>
        <w:ind w:firstLine="709"/>
        <w:jc w:val="both"/>
      </w:pPr>
      <w:r>
        <w:rPr>
          <w:color w:val="000000"/>
          <w:szCs w:val="24"/>
          <w:lang w:eastAsia="lt-LT"/>
        </w:rPr>
        <w:t>2.3.4</w:t>
      </w:r>
      <w:r>
        <w:rPr>
          <w:color w:val="000000"/>
          <w:szCs w:val="24"/>
          <w:lang w:eastAsia="lt-LT"/>
        </w:rPr>
        <w:t>. Valstybinė maisto ir veterinarijos tarnyba, gavusi 2.3.3 papunktyje nurodytą informaciją, pagal Lietuvos Respublikos veterinarijos įstatymo 7 straipsni</w:t>
      </w:r>
      <w:r>
        <w:rPr>
          <w:color w:val="000000"/>
          <w:szCs w:val="24"/>
          <w:lang w:eastAsia="lt-LT"/>
        </w:rPr>
        <w:t>o 6 punktą sustabdo šių įmonių pagamintų produktų realizavimą.“</w:t>
      </w:r>
    </w:p>
    <w:p w14:paraId="4A7B5143" w14:textId="1F91E796" w:rsidR="00A47EFB" w:rsidRDefault="00EC2AEC" w:rsidP="00EC2AEC">
      <w:pPr>
        <w:shd w:val="clear" w:color="auto" w:fill="FFFFFF"/>
        <w:spacing w:line="360" w:lineRule="auto"/>
        <w:ind w:firstLine="709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60"/>
          <w:szCs w:val="24"/>
          <w:lang w:eastAsia="lt-LT"/>
        </w:rPr>
        <w:t>Nustata</w:t>
      </w:r>
      <w:r>
        <w:rPr>
          <w:szCs w:val="24"/>
          <w:lang w:eastAsia="lt-LT"/>
        </w:rPr>
        <w:t>u, kad šis įsakymas įsigalioja 2018 m. gruodžio 31 d.</w:t>
      </w:r>
    </w:p>
    <w:p w14:paraId="5315C185" w14:textId="77777777" w:rsidR="00EC2AEC" w:rsidRDefault="00EC2AEC">
      <w:pPr>
        <w:overflowPunct w:val="0"/>
        <w:spacing w:line="360" w:lineRule="auto"/>
        <w:jc w:val="both"/>
        <w:textAlignment w:val="baseline"/>
      </w:pPr>
    </w:p>
    <w:p w14:paraId="223C532A" w14:textId="77777777" w:rsidR="00EC2AEC" w:rsidRDefault="00EC2AEC">
      <w:pPr>
        <w:overflowPunct w:val="0"/>
        <w:spacing w:line="360" w:lineRule="auto"/>
        <w:jc w:val="both"/>
        <w:textAlignment w:val="baseline"/>
      </w:pPr>
    </w:p>
    <w:p w14:paraId="7F4F425A" w14:textId="77777777" w:rsidR="00EC2AEC" w:rsidRDefault="00EC2AEC">
      <w:pPr>
        <w:overflowPunct w:val="0"/>
        <w:spacing w:line="360" w:lineRule="auto"/>
        <w:jc w:val="both"/>
        <w:textAlignment w:val="baseline"/>
      </w:pPr>
    </w:p>
    <w:p w14:paraId="4A7B5144" w14:textId="1A2AFBB8" w:rsidR="00A47EFB" w:rsidRDefault="00EC2AEC" w:rsidP="00EC2AEC">
      <w:pPr>
        <w:tabs>
          <w:tab w:val="left" w:pos="7371"/>
        </w:tabs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bookmarkStart w:id="0" w:name="_GoBack"/>
      <w:bookmarkEnd w:id="0"/>
      <w:r>
        <w:t xml:space="preserve">Giedrius </w:t>
      </w:r>
      <w:proofErr w:type="spellStart"/>
      <w:r>
        <w:t>Surplys</w:t>
      </w:r>
      <w:proofErr w:type="spellEnd"/>
    </w:p>
    <w:sectPr w:rsidR="00A47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B5149" w14:textId="77777777" w:rsidR="00A47EFB" w:rsidRDefault="00EC2AE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4A7B514A" w14:textId="77777777" w:rsidR="00A47EFB" w:rsidRDefault="00EC2AE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4E" w14:textId="77777777" w:rsidR="00A47EFB" w:rsidRDefault="00A47E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4F" w14:textId="77777777" w:rsidR="00A47EFB" w:rsidRDefault="00A47E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51" w14:textId="77777777" w:rsidR="00A47EFB" w:rsidRDefault="00A47E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B5147" w14:textId="77777777" w:rsidR="00A47EFB" w:rsidRDefault="00EC2AE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4A7B5148" w14:textId="77777777" w:rsidR="00A47EFB" w:rsidRDefault="00EC2AEC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4B" w14:textId="77777777" w:rsidR="00A47EFB" w:rsidRDefault="00EC2AEC">
    <w:pPr>
      <w:tabs>
        <w:tab w:val="center" w:pos="4153"/>
        <w:tab w:val="right" w:pos="8306"/>
      </w:tabs>
      <w:overflowPunct w:val="0"/>
      <w:jc w:val="center"/>
      <w:textAlignment w:val="baseline"/>
      <w:rPr>
        <w:sz w:val="22"/>
        <w:szCs w:val="22"/>
      </w:rPr>
    </w:pPr>
    <w:r>
      <w:rPr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4C" w14:textId="77777777" w:rsidR="00A47EFB" w:rsidRDefault="00A47EFB"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</w:p>
  <w:p w14:paraId="4A7B514D" w14:textId="77777777" w:rsidR="00A47EFB" w:rsidRDefault="00A47E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5150" w14:textId="77777777" w:rsidR="00A47EFB" w:rsidRDefault="00A47EFB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96"/>
    <w:rsid w:val="00756E96"/>
    <w:rsid w:val="00A47EFB"/>
    <w:rsid w:val="00E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A7B5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2018-11-12T11:53:00Z</dcterms:created>
  <dcterms:modified xsi:type="dcterms:W3CDTF">2018-11-12T13:06:00Z</dcterms:modified>
  <revision>1</revision>
</coreProperties>
</file>