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5f0f986b85640ddac7e6ab99f1ddfec"/>
        <w:id w:val="-2045130603"/>
        <w:lock w:val="sdtLocked"/>
      </w:sdtPr>
      <w:sdtEndPr/>
      <w:sdtContent>
        <w:p w:rsidR="000D270F" w:rsidRDefault="000D270F">
          <w:pPr>
            <w:tabs>
              <w:tab w:val="center" w:pos="4986"/>
              <w:tab w:val="right" w:pos="9972"/>
            </w:tabs>
          </w:pPr>
        </w:p>
        <w:p w:rsidR="000D270F" w:rsidRDefault="00E45EBE">
          <w:pPr>
            <w:jc w:val="center"/>
            <w:rPr>
              <w:szCs w:val="24"/>
            </w:rPr>
          </w:pPr>
          <w:r>
            <w:rPr>
              <w:color w:val="0000FF"/>
              <w:sz w:val="22"/>
              <w:szCs w:val="22"/>
            </w:rPr>
            <w:object w:dxaOrig="4620" w:dyaOrig="5445" w14:anchorId="00A5EC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39.75pt" o:ole="" fillcolor="window">
                <v:imagedata r:id="rId8" o:title=""/>
              </v:shape>
              <o:OLEObject Type="Embed" ProgID="PBrush" ShapeID="_x0000_i1025" DrawAspect="Content" ObjectID="_1689399610" r:id="rId9"/>
            </w:object>
          </w:r>
        </w:p>
        <w:p w:rsidR="000D270F" w:rsidRDefault="000D270F">
          <w:pPr>
            <w:tabs>
              <w:tab w:val="center" w:pos="4153"/>
              <w:tab w:val="right" w:pos="8306"/>
            </w:tabs>
            <w:jc w:val="center"/>
            <w:rPr>
              <w:b/>
              <w:color w:val="000000"/>
              <w:szCs w:val="8"/>
              <w:lang w:eastAsia="lt-LT"/>
            </w:rPr>
          </w:pPr>
        </w:p>
        <w:p w:rsidR="000D270F" w:rsidRDefault="00E45EBE">
          <w:pPr>
            <w:tabs>
              <w:tab w:val="center" w:pos="4153"/>
              <w:tab w:val="right" w:pos="8306"/>
            </w:tabs>
            <w:jc w:val="center"/>
            <w:rPr>
              <w:b/>
              <w:color w:val="000000"/>
              <w:szCs w:val="8"/>
              <w:lang w:eastAsia="lt-LT"/>
            </w:rPr>
          </w:pPr>
          <w:r>
            <w:rPr>
              <w:b/>
              <w:noProof/>
              <w:color w:val="000000"/>
              <w:szCs w:val="8"/>
              <w:lang w:eastAsia="lt-LT"/>
            </w:rPr>
            <w:drawing>
              <wp:anchor distT="0" distB="0" distL="114300" distR="114300" simplePos="0" relativeHeight="251657728" behindDoc="0" locked="0" layoutInCell="1" allowOverlap="1" wp14:anchorId="6A10A116" wp14:editId="1B00C813">
                <wp:simplePos x="0" y="0"/>
                <wp:positionH relativeFrom="column">
                  <wp:posOffset>-1080135</wp:posOffset>
                </wp:positionH>
                <wp:positionV relativeFrom="paragraph">
                  <wp:posOffset>-720090</wp:posOffset>
                </wp:positionV>
                <wp:extent cx="7620" cy="7620"/>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szCs w:val="8"/>
              <w:lang w:eastAsia="lt-LT"/>
            </w:rPr>
            <w:t>LIETUVOS RESPUBLIKOS VIDAUS REIKALŲ MINISTRAS</w:t>
          </w:r>
        </w:p>
        <w:p w:rsidR="000D270F" w:rsidRDefault="000D270F">
          <w:pPr>
            <w:jc w:val="center"/>
            <w:rPr>
              <w:color w:val="000000"/>
              <w:szCs w:val="8"/>
              <w:lang w:eastAsia="lt-LT"/>
            </w:rPr>
          </w:pPr>
        </w:p>
        <w:p w:rsidR="000D270F" w:rsidRDefault="00E45EBE">
          <w:pPr>
            <w:jc w:val="center"/>
            <w:rPr>
              <w:b/>
              <w:color w:val="000000"/>
              <w:szCs w:val="8"/>
              <w:lang w:eastAsia="lt-LT"/>
            </w:rPr>
          </w:pPr>
          <w:r>
            <w:rPr>
              <w:b/>
              <w:color w:val="000000"/>
              <w:szCs w:val="8"/>
              <w:lang w:eastAsia="lt-LT"/>
            </w:rPr>
            <w:t>ĮSAKYMAS</w:t>
          </w:r>
        </w:p>
        <w:p w:rsidR="000D270F" w:rsidRDefault="00E45EBE">
          <w:pPr>
            <w:jc w:val="center"/>
            <w:rPr>
              <w:b/>
              <w:color w:val="000000"/>
              <w:szCs w:val="8"/>
              <w:lang w:eastAsia="lt-LT"/>
            </w:rPr>
          </w:pPr>
          <w:r>
            <w:rPr>
              <w:b/>
              <w:color w:val="000000"/>
              <w:szCs w:val="8"/>
              <w:lang w:eastAsia="lt-LT"/>
            </w:rPr>
            <w:t>DĖL LIETUVOS RESPUBLIKOS VIDAUS REIKALŲ MINISTRO 2019 M. SAUSIO 15 D. ĮSAKYMO NR. 1V-55 „DĖL LIETUVOS RESPUBLIKOS VIDAUS TARNYBOS STATUTO ĮGYVENDINIMO“ PAKEITIMO</w:t>
          </w:r>
        </w:p>
        <w:p w:rsidR="000D270F" w:rsidRDefault="000D270F">
          <w:pPr>
            <w:jc w:val="center"/>
            <w:rPr>
              <w:color w:val="000000"/>
              <w:szCs w:val="8"/>
              <w:lang w:eastAsia="lt-LT"/>
            </w:rPr>
          </w:pPr>
        </w:p>
        <w:p w:rsidR="000D270F" w:rsidRDefault="00E45EBE">
          <w:pPr>
            <w:jc w:val="center"/>
            <w:rPr>
              <w:color w:val="000000"/>
              <w:szCs w:val="8"/>
              <w:lang w:eastAsia="lt-LT"/>
            </w:rPr>
          </w:pPr>
          <w:r>
            <w:rPr>
              <w:color w:val="000000"/>
              <w:szCs w:val="8"/>
              <w:lang w:eastAsia="lt-LT"/>
            </w:rPr>
            <w:t xml:space="preserve">2021 m. </w:t>
          </w:r>
          <w:r>
            <w:rPr>
              <w:color w:val="000000"/>
              <w:szCs w:val="8"/>
              <w:lang w:eastAsia="lt-LT"/>
            </w:rPr>
            <w:t>rugpjūčio 2 d. Nr. 1V-638</w:t>
          </w:r>
        </w:p>
        <w:p w:rsidR="000D270F" w:rsidRDefault="00E45EBE">
          <w:pPr>
            <w:jc w:val="center"/>
            <w:rPr>
              <w:color w:val="000000"/>
              <w:szCs w:val="8"/>
              <w:lang w:eastAsia="lt-LT"/>
            </w:rPr>
          </w:pPr>
          <w:r>
            <w:rPr>
              <w:color w:val="000000"/>
              <w:szCs w:val="8"/>
              <w:lang w:eastAsia="lt-LT"/>
            </w:rPr>
            <w:t>Vilnius</w:t>
          </w:r>
        </w:p>
        <w:p w:rsidR="000D270F" w:rsidRDefault="000D270F">
          <w:pPr>
            <w:jc w:val="both"/>
            <w:rPr>
              <w:color w:val="000000"/>
              <w:szCs w:val="8"/>
              <w:lang w:eastAsia="lt-LT"/>
            </w:rPr>
          </w:pPr>
        </w:p>
        <w:p w:rsidR="00E45EBE" w:rsidRDefault="00E45EBE">
          <w:pPr>
            <w:jc w:val="both"/>
            <w:rPr>
              <w:color w:val="000000"/>
              <w:szCs w:val="8"/>
              <w:lang w:eastAsia="lt-LT"/>
            </w:rPr>
          </w:pPr>
        </w:p>
        <w:sdt>
          <w:sdtPr>
            <w:alias w:val="pastraipa"/>
            <w:tag w:val="part_ce8f36b12d2e4b6d94c39e6f4f27a377"/>
            <w:id w:val="-593545680"/>
            <w:lock w:val="sdtLocked"/>
          </w:sdtPr>
          <w:sdtEndPr/>
          <w:sdtContent>
            <w:p w:rsidR="000D270F" w:rsidRDefault="00E45EBE">
              <w:pPr>
                <w:spacing w:line="360" w:lineRule="auto"/>
                <w:ind w:firstLine="851"/>
                <w:jc w:val="both"/>
                <w:rPr>
                  <w:szCs w:val="24"/>
                </w:rPr>
              </w:pPr>
              <w:r>
                <w:rPr>
                  <w:spacing w:val="100"/>
                  <w:szCs w:val="24"/>
                </w:rPr>
                <w:t xml:space="preserve">Pakeičiu </w:t>
              </w:r>
              <w:r>
                <w:rPr>
                  <w:szCs w:val="24"/>
                </w:rPr>
                <w:t>Lietuvos Respublikos vidaus reikalų ministro 2019 m. sausio 15 d. įsakymą Nr. 1V-55 „Dėl Lietuvos Respublikos vidaus tarnybos statuto įgyvendinimo“:</w:t>
              </w:r>
            </w:p>
          </w:sdtContent>
        </w:sdt>
        <w:sdt>
          <w:sdtPr>
            <w:alias w:val="1 p."/>
            <w:tag w:val="part_1ca291d02595492385561bab3059f22a"/>
            <w:id w:val="-638564531"/>
            <w:lock w:val="sdtLocked"/>
          </w:sdtPr>
          <w:sdtEndPr/>
          <w:sdtContent>
            <w:p w:rsidR="000D270F" w:rsidRDefault="00E45EBE">
              <w:pPr>
                <w:tabs>
                  <w:tab w:val="num" w:pos="0"/>
                  <w:tab w:val="left" w:pos="1134"/>
                </w:tabs>
                <w:spacing w:line="360" w:lineRule="auto"/>
                <w:ind w:right="-141" w:firstLine="851"/>
                <w:jc w:val="both"/>
                <w:rPr>
                  <w:szCs w:val="24"/>
                </w:rPr>
              </w:pPr>
              <w:sdt>
                <w:sdtPr>
                  <w:alias w:val="Numeris"/>
                  <w:tag w:val="nr_1ca291d02595492385561bab3059f22a"/>
                  <w:id w:val="336583293"/>
                  <w:lock w:val="sdtLocked"/>
                </w:sdtPr>
                <w:sdtEndPr/>
                <w:sdtContent>
                  <w:r>
                    <w:rPr>
                      <w:szCs w:val="24"/>
                    </w:rPr>
                    <w:t>1</w:t>
                  </w:r>
                </w:sdtContent>
              </w:sdt>
              <w:r>
                <w:rPr>
                  <w:szCs w:val="24"/>
                </w:rPr>
                <w:t>. Pakeičiu 2.2 papunktį ir jį išdėstau taip:</w:t>
              </w:r>
            </w:p>
            <w:sdt>
              <w:sdtPr>
                <w:alias w:val="citata"/>
                <w:tag w:val="part_562df8d1878d415fb24cc1d7dafc2d8f"/>
                <w:id w:val="-1263759539"/>
                <w:lock w:val="sdtLocked"/>
              </w:sdtPr>
              <w:sdtEndPr/>
              <w:sdtContent>
                <w:sdt>
                  <w:sdtPr>
                    <w:alias w:val="2.2 pp."/>
                    <w:tag w:val="part_a41b34ff639643ab99cc3dd22f7bbc7a"/>
                    <w:id w:val="1763798097"/>
                    <w:lock w:val="sdtLocked"/>
                  </w:sdtPr>
                  <w:sdtEndPr/>
                  <w:sdtContent>
                    <w:p w:rsidR="000D270F" w:rsidRDefault="00E45EBE">
                      <w:pPr>
                        <w:tabs>
                          <w:tab w:val="left" w:pos="1134"/>
                        </w:tabs>
                        <w:spacing w:line="360" w:lineRule="auto"/>
                        <w:ind w:firstLine="851"/>
                        <w:jc w:val="both"/>
                      </w:pPr>
                      <w:r>
                        <w:rPr>
                          <w:szCs w:val="24"/>
                        </w:rPr>
                        <w:t>„</w:t>
                      </w:r>
                      <w:sdt>
                        <w:sdtPr>
                          <w:alias w:val="Numeris"/>
                          <w:tag w:val="nr_a41b34ff639643ab99cc3dd22f7bbc7a"/>
                          <w:id w:val="1380434376"/>
                          <w:lock w:val="sdtLocked"/>
                        </w:sdtPr>
                        <w:sdtEndPr/>
                        <w:sdtContent>
                          <w:r>
                            <w:rPr>
                              <w:color w:val="000000"/>
                              <w:szCs w:val="22"/>
                              <w:lang w:eastAsia="lt-LT"/>
                            </w:rPr>
                            <w:t>2.2</w:t>
                          </w:r>
                        </w:sdtContent>
                      </w:sdt>
                      <w:r>
                        <w:rPr>
                          <w:color w:val="000000"/>
                          <w:szCs w:val="22"/>
                          <w:lang w:eastAsia="lt-LT"/>
                        </w:rPr>
                        <w:t>. šio į</w:t>
                      </w:r>
                      <w:r>
                        <w:rPr>
                          <w:color w:val="000000"/>
                          <w:szCs w:val="22"/>
                          <w:lang w:eastAsia="lt-LT"/>
                        </w:rPr>
                        <w:t>sakymo 1.16 papunkčiu patvirtinto Nelaimingų atsitikimų tarnyboje, nelaimingų atsitikimų pakeliui į tarnybą ar iš tarnybos, taip pat nelaimingų atsitikimų profesinio ar įvadinio mokymo metu bei profesinių ligų tyrimo ir apskaitos tvarkos aprašo nuostatos t</w:t>
                      </w:r>
                      <w:r>
                        <w:rPr>
                          <w:color w:val="000000"/>
                          <w:szCs w:val="22"/>
                          <w:lang w:eastAsia="lt-LT"/>
                        </w:rPr>
                        <w:t>aikomos tiriant nelaimingus atsitikimus tarnyboje, nelaimingus atsitikimus pakeliui į tarnybą ar iš tarnybos, įvykusius vidaus tarnybos sistemos pareigūnams (toliau – pareigūnai) ar kursantams profesinio ar įvadinio mokymo metu, kai jie vykdo ar vykdė veik</w:t>
                      </w:r>
                      <w:r>
                        <w:rPr>
                          <w:color w:val="000000"/>
                          <w:szCs w:val="22"/>
                          <w:lang w:eastAsia="lt-LT"/>
                        </w:rPr>
                        <w:t>lą, kuriai būdingi specifiniai veiklos požymiai. Nelaimingi atsitikimai tarnyboje, nelaimingi atsitikimai pakeliui į tarnybą ar iš tarnybos, įvykę pareigūnams ir kursantams, atliekantiems praktiką, sudarius profesinės veiklos sutartį, vykdantiems veiklą ar</w:t>
                      </w:r>
                      <w:r>
                        <w:rPr>
                          <w:color w:val="000000"/>
                          <w:szCs w:val="22"/>
                          <w:lang w:eastAsia="lt-LT"/>
                        </w:rPr>
                        <w:t xml:space="preserve"> dirbantiems darbus, nepriskirtus statutinių įstaigų specifinei veiklai, kurią nustato centrinių statutinių įstaigų vadovai, tiriami Nelaimingų atsitikimų darbe tyrimo ir apskaitos nuostatų, patvirtintų Lietuvos Respublikos Vyriausybės 2004 m. rugsėjo 2 d.</w:t>
                      </w:r>
                      <w:r>
                        <w:rPr>
                          <w:color w:val="000000"/>
                          <w:szCs w:val="22"/>
                          <w:lang w:eastAsia="lt-LT"/>
                        </w:rPr>
                        <w:t xml:space="preserve"> nutarimu Nr. 1118 „Dėl Nelaimingų atsitikimų darbe tyrimo ir apskaitos nuostatų patvirtinimo“, nustatyta tvarka;</w:t>
                      </w:r>
                      <w:r>
                        <w:t>“.</w:t>
                      </w:r>
                    </w:p>
                  </w:sdtContent>
                </w:sdt>
              </w:sdtContent>
            </w:sdt>
          </w:sdtContent>
        </w:sdt>
        <w:sdt>
          <w:sdtPr>
            <w:alias w:val="2 p."/>
            <w:tag w:val="part_cb951bd5c9634a48a15d3f55f4496d17"/>
            <w:id w:val="1256560012"/>
            <w:lock w:val="sdtLocked"/>
          </w:sdtPr>
          <w:sdtEndPr/>
          <w:sdtContent>
            <w:p w:rsidR="000D270F" w:rsidRDefault="00E45EBE">
              <w:pPr>
                <w:tabs>
                  <w:tab w:val="left" w:pos="1134"/>
                </w:tabs>
                <w:spacing w:line="360" w:lineRule="auto"/>
                <w:ind w:right="-141" w:firstLine="851"/>
                <w:jc w:val="both"/>
                <w:rPr>
                  <w:szCs w:val="24"/>
                </w:rPr>
              </w:pPr>
              <w:sdt>
                <w:sdtPr>
                  <w:alias w:val="Numeris"/>
                  <w:tag w:val="nr_cb951bd5c9634a48a15d3f55f4496d17"/>
                  <w:id w:val="-1354570682"/>
                  <w:lock w:val="sdtLocked"/>
                </w:sdtPr>
                <w:sdtEndPr/>
                <w:sdtContent>
                  <w:r>
                    <w:rPr>
                      <w:szCs w:val="24"/>
                    </w:rPr>
                    <w:t>2</w:t>
                  </w:r>
                </w:sdtContent>
              </w:sdt>
              <w:r>
                <w:rPr>
                  <w:szCs w:val="24"/>
                </w:rPr>
                <w:t>.</w:t>
              </w:r>
              <w:r>
                <w:rPr>
                  <w:szCs w:val="24"/>
                </w:rPr>
                <w:tab/>
              </w:r>
              <w:r>
                <w:rPr>
                  <w:szCs w:val="24"/>
                  <w:lang w:eastAsia="lt-LT"/>
                </w:rPr>
                <w:t xml:space="preserve"> </w:t>
              </w:r>
              <w:r>
                <w:rPr>
                  <w:szCs w:val="24"/>
                </w:rPr>
                <w:t>Pakeičiu 2.3 papunktį ir jį išdėstau taip:</w:t>
              </w:r>
            </w:p>
            <w:sdt>
              <w:sdtPr>
                <w:alias w:val="citata"/>
                <w:tag w:val="part_afa0e0c81ed443e48e3fb741bad6f361"/>
                <w:id w:val="1650169587"/>
                <w:lock w:val="sdtLocked"/>
              </w:sdtPr>
              <w:sdtEndPr/>
              <w:sdtContent>
                <w:sdt>
                  <w:sdtPr>
                    <w:alias w:val="2.3 pp."/>
                    <w:tag w:val="part_09ee8c77469648ce99f6910e325fc08e"/>
                    <w:id w:val="-1354488832"/>
                    <w:lock w:val="sdtLocked"/>
                  </w:sdtPr>
                  <w:sdtEndPr/>
                  <w:sdtContent>
                    <w:p w:rsidR="000D270F" w:rsidRDefault="00E45EBE">
                      <w:pPr>
                        <w:tabs>
                          <w:tab w:val="left" w:pos="1134"/>
                        </w:tabs>
                        <w:spacing w:line="360" w:lineRule="auto"/>
                        <w:ind w:firstLine="851"/>
                        <w:jc w:val="both"/>
                        <w:rPr>
                          <w:bCs/>
                          <w:iCs/>
                          <w:color w:val="000000"/>
                          <w:szCs w:val="24"/>
                        </w:rPr>
                      </w:pPr>
                      <w:r>
                        <w:rPr>
                          <w:szCs w:val="24"/>
                        </w:rPr>
                        <w:t>„</w:t>
                      </w:r>
                      <w:sdt>
                        <w:sdtPr>
                          <w:alias w:val="Numeris"/>
                          <w:tag w:val="nr_09ee8c77469648ce99f6910e325fc08e"/>
                          <w:id w:val="-831994059"/>
                          <w:lock w:val="sdtLocked"/>
                        </w:sdtPr>
                        <w:sdtEndPr/>
                        <w:sdtContent>
                          <w:r>
                            <w:rPr>
                              <w:color w:val="000000"/>
                              <w:szCs w:val="22"/>
                              <w:lang w:eastAsia="lt-LT"/>
                            </w:rPr>
                            <w:t>2.3</w:t>
                          </w:r>
                        </w:sdtContent>
                      </w:sdt>
                      <w:r>
                        <w:rPr>
                          <w:color w:val="000000"/>
                          <w:szCs w:val="22"/>
                          <w:lang w:eastAsia="lt-LT"/>
                        </w:rPr>
                        <w:t xml:space="preserve">. šio įsakymo 1.16 papunkčiu patvirtinto Nelaimingų atsitikimų tarnyboje, </w:t>
                      </w:r>
                      <w:r>
                        <w:rPr>
                          <w:color w:val="000000"/>
                          <w:szCs w:val="22"/>
                          <w:lang w:eastAsia="lt-LT"/>
                        </w:rPr>
                        <w:t>nelaimingų atsitikimų pakeliui į tarnybą ar iš tarnybos, taip pat nelaimingų atsitikimų profesinio ar įvadinio mokymo metu bei profesinių ligų tyrimo ir apskaitos tvarkos aprašo nuostatos taikomos tiriant profesines ligas pareigūnams ir kursantams, kai jie</w:t>
                      </w:r>
                      <w:r>
                        <w:rPr>
                          <w:color w:val="000000"/>
                          <w:szCs w:val="22"/>
                          <w:lang w:eastAsia="lt-LT"/>
                        </w:rPr>
                        <w:t xml:space="preserve"> vykdo ar vykdė veiklą, kuriai būdingi specifiniai veiklos požymiai, taip pat iš vidaus tarnybos atleistiems ar kursanto statuso netekusiems asmenims, kurie, eidami pareigūno pareigas ar turėdami kursanto statusą, vykdė veiklą, kuriai būdingi specifiniai v</w:t>
                      </w:r>
                      <w:r>
                        <w:rPr>
                          <w:color w:val="000000"/>
                          <w:szCs w:val="22"/>
                          <w:lang w:eastAsia="lt-LT"/>
                        </w:rPr>
                        <w:t xml:space="preserve">eiklos požymiai. Kai pareigūnai ir kursantai, atliekantys praktiką, sudarius profesinės veiklos praktikos sutartį, nevykdo ar nevykdė statutinių įstaigų specifinės veiklos, kurią nustato </w:t>
                      </w:r>
                      <w:r>
                        <w:rPr>
                          <w:color w:val="000000"/>
                          <w:szCs w:val="22"/>
                          <w:lang w:eastAsia="lt-LT"/>
                        </w:rPr>
                        <w:lastRenderedPageBreak/>
                        <w:t>centrinių statutinių įstaigų vadovai, profesinės ligos tiriamos Profe</w:t>
                      </w:r>
                      <w:r>
                        <w:rPr>
                          <w:color w:val="000000"/>
                          <w:szCs w:val="22"/>
                          <w:lang w:eastAsia="lt-LT"/>
                        </w:rPr>
                        <w:t>sinių ligų tyrimo ir apskaitos nuostatų, patvirtintų Lietuvos Respublikos Vyriausybės 2004 m. balandžio 28 d. nutarimu Nr. 487 „Dėl Profesinių ligų tyrimo ir apskaitos nuostatų patvirtinimo“, nustatyta tvarka.“</w:t>
                      </w:r>
                    </w:p>
                  </w:sdtContent>
                </w:sdt>
              </w:sdtContent>
            </w:sdt>
          </w:sdtContent>
        </w:sdt>
        <w:sdt>
          <w:sdtPr>
            <w:alias w:val="3 p."/>
            <w:tag w:val="part_3ee1834228a64b9ca841a04c57b1bc83"/>
            <w:id w:val="-689532939"/>
            <w:lock w:val="sdtLocked"/>
          </w:sdtPr>
          <w:sdtEndPr/>
          <w:sdtContent>
            <w:p w:rsidR="000D270F" w:rsidRDefault="00E45EBE">
              <w:pPr>
                <w:tabs>
                  <w:tab w:val="left" w:pos="1134"/>
                </w:tabs>
                <w:spacing w:line="360" w:lineRule="auto"/>
                <w:ind w:firstLine="851"/>
                <w:jc w:val="both"/>
                <w:rPr>
                  <w:color w:val="000000"/>
                  <w:szCs w:val="22"/>
                  <w:lang w:eastAsia="lt-LT"/>
                </w:rPr>
              </w:pPr>
              <w:sdt>
                <w:sdtPr>
                  <w:alias w:val="Numeris"/>
                  <w:tag w:val="nr_3ee1834228a64b9ca841a04c57b1bc83"/>
                  <w:id w:val="-1927496048"/>
                  <w:lock w:val="sdtLocked"/>
                </w:sdtPr>
                <w:sdtEndPr/>
                <w:sdtContent>
                  <w:r>
                    <w:rPr>
                      <w:szCs w:val="24"/>
                      <w:lang w:eastAsia="lt-LT"/>
                    </w:rPr>
                    <w:t>3</w:t>
                  </w:r>
                </w:sdtContent>
              </w:sdt>
              <w:r>
                <w:rPr>
                  <w:szCs w:val="24"/>
                  <w:lang w:eastAsia="lt-LT"/>
                </w:rPr>
                <w:t xml:space="preserve">. </w:t>
              </w:r>
              <w:r>
                <w:rPr>
                  <w:rFonts w:eastAsia="Calibri"/>
                  <w:szCs w:val="24"/>
                  <w:lang w:eastAsia="lt-LT"/>
                </w:rPr>
                <w:t>Pakeičiu nurodytu įsakymu patvirti</w:t>
              </w:r>
              <w:r>
                <w:rPr>
                  <w:rFonts w:eastAsia="Calibri"/>
                  <w:szCs w:val="24"/>
                  <w:lang w:eastAsia="lt-LT"/>
                </w:rPr>
                <w:t xml:space="preserve">ntą </w:t>
              </w:r>
              <w:r>
                <w:rPr>
                  <w:szCs w:val="24"/>
                  <w:lang w:eastAsia="lt-LT"/>
                </w:rPr>
                <w:t xml:space="preserve">Nelaimingų atsitikimų tarnyboje, nelaimingų atsitikimų pakeliui į tarnybą ar iš tarnybos, taip pat nelaimingų atsitikimų profesinio ar įvadinio mokymo metu bei profesinių ligų tyrimo ir apskaitos tvarkos </w:t>
              </w:r>
              <w:r>
                <w:rPr>
                  <w:color w:val="000000"/>
                  <w:szCs w:val="22"/>
                  <w:lang w:eastAsia="lt-LT"/>
                </w:rPr>
                <w:t>aprašą:</w:t>
              </w:r>
            </w:p>
            <w:sdt>
              <w:sdtPr>
                <w:alias w:val="3.1 pp."/>
                <w:tag w:val="part_408fb4eca52640cda475b644af75e494"/>
                <w:id w:val="1180549964"/>
                <w:lock w:val="sdtLocked"/>
              </w:sdtPr>
              <w:sdtEndPr/>
              <w:sdtContent>
                <w:p w:rsidR="000D270F" w:rsidRDefault="00E45EBE">
                  <w:pPr>
                    <w:tabs>
                      <w:tab w:val="left" w:pos="1134"/>
                    </w:tabs>
                    <w:spacing w:line="360" w:lineRule="auto"/>
                    <w:ind w:firstLine="851"/>
                    <w:jc w:val="both"/>
                    <w:rPr>
                      <w:color w:val="000000"/>
                      <w:szCs w:val="22"/>
                      <w:lang w:eastAsia="lt-LT"/>
                    </w:rPr>
                  </w:pPr>
                  <w:sdt>
                    <w:sdtPr>
                      <w:alias w:val="Numeris"/>
                      <w:tag w:val="nr_408fb4eca52640cda475b644af75e494"/>
                      <w:id w:val="-66735642"/>
                      <w:lock w:val="sdtLocked"/>
                    </w:sdtPr>
                    <w:sdtEndPr/>
                    <w:sdtContent>
                      <w:r>
                        <w:rPr>
                          <w:color w:val="000000"/>
                          <w:szCs w:val="22"/>
                          <w:lang w:eastAsia="lt-LT"/>
                        </w:rPr>
                        <w:t>3.1</w:t>
                      </w:r>
                    </w:sdtContent>
                  </w:sdt>
                  <w:r>
                    <w:rPr>
                      <w:color w:val="000000"/>
                      <w:szCs w:val="22"/>
                      <w:lang w:eastAsia="lt-LT"/>
                    </w:rPr>
                    <w:t>. Pakeičiu 63 punktą ir jį išdėstau</w:t>
                  </w:r>
                  <w:r>
                    <w:rPr>
                      <w:color w:val="000000"/>
                      <w:szCs w:val="22"/>
                      <w:lang w:eastAsia="lt-LT"/>
                    </w:rPr>
                    <w:t xml:space="preserve"> taip</w:t>
                  </w:r>
                  <w:r>
                    <w:rPr>
                      <w:color w:val="000000"/>
                      <w:szCs w:val="24"/>
                      <w:lang w:eastAsia="lt-LT"/>
                    </w:rPr>
                    <w:t>:</w:t>
                  </w:r>
                </w:p>
                <w:sdt>
                  <w:sdtPr>
                    <w:alias w:val="citata"/>
                    <w:tag w:val="part_9122ccb3167a4085875a28492682eed0"/>
                    <w:id w:val="-1182435700"/>
                    <w:lock w:val="sdtLocked"/>
                  </w:sdtPr>
                  <w:sdtEndPr/>
                  <w:sdtContent>
                    <w:sdt>
                      <w:sdtPr>
                        <w:alias w:val="63 p."/>
                        <w:tag w:val="part_17c453debf6940d3bb3cd4e28ea62e91"/>
                        <w:id w:val="-756367516"/>
                        <w:lock w:val="sdtLocked"/>
                      </w:sdtPr>
                      <w:sdtEndPr/>
                      <w:sdtContent>
                        <w:p w:rsidR="000D270F" w:rsidRDefault="00E45EBE">
                          <w:pPr>
                            <w:tabs>
                              <w:tab w:val="left" w:pos="1134"/>
                            </w:tabs>
                            <w:spacing w:line="360" w:lineRule="auto"/>
                            <w:ind w:firstLine="851"/>
                            <w:jc w:val="both"/>
                            <w:rPr>
                              <w:color w:val="000000"/>
                              <w:szCs w:val="24"/>
                            </w:rPr>
                          </w:pPr>
                          <w:r>
                            <w:rPr>
                              <w:color w:val="000000"/>
                              <w:szCs w:val="22"/>
                              <w:lang w:eastAsia="lt-LT"/>
                            </w:rPr>
                            <w:t>„</w:t>
                          </w:r>
                          <w:sdt>
                            <w:sdtPr>
                              <w:alias w:val="Numeris"/>
                              <w:tag w:val="nr_17c453debf6940d3bb3cd4e28ea62e91"/>
                              <w:id w:val="895787217"/>
                              <w:lock w:val="sdtLocked"/>
                            </w:sdtPr>
                            <w:sdtEndPr/>
                            <w:sdtContent>
                              <w:r>
                                <w:rPr>
                                  <w:szCs w:val="24"/>
                                  <w:lang w:eastAsia="lt-LT"/>
                                </w:rPr>
                                <w:t>63</w:t>
                              </w:r>
                            </w:sdtContent>
                          </w:sdt>
                          <w:r>
                            <w:rPr>
                              <w:szCs w:val="24"/>
                              <w:lang w:eastAsia="lt-LT"/>
                            </w:rPr>
                            <w:t xml:space="preserve">. </w:t>
                          </w:r>
                          <w:r>
                            <w:rPr>
                              <w:color w:val="000000"/>
                              <w:szCs w:val="24"/>
                              <w:lang w:eastAsia="lt-LT"/>
                            </w:rPr>
                            <w:t>Asmens sveikatos priežiūros įstaigos gydytojas, įtaręs, kad pareigūno ar kursanto ūmaus sveikatos sutrikimo priežastis gali būti susijusi su tarnyba ar profesiniu ar įvadiniu mokymu, ne vėliau kaip per vieną darbo dieną, jeigu tai įmanoma, at</w:t>
                          </w:r>
                          <w:r>
                            <w:rPr>
                              <w:color w:val="000000"/>
                              <w:szCs w:val="24"/>
                              <w:lang w:eastAsia="lt-LT"/>
                            </w:rPr>
                            <w:t xml:space="preserve">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w:t>
                          </w:r>
                          <w:r>
                            <w:rPr>
                              <w:szCs w:val="24"/>
                              <w:lang w:eastAsia="lt-LT"/>
                            </w:rPr>
                            <w:t>areigūno ar kursanto sveikatos būkle, į Medicinos centrą darbo medicinos gydytojo konsultacijai. Medicinos centre pareigūnui ar kursantui suteikiama Medicinos centro darbo medicinos gydytojo konsultacija, o jei tokios galimybės nėra, pareigūnas ar kursanta</w:t>
                          </w:r>
                          <w:r>
                            <w:rPr>
                              <w:szCs w:val="24"/>
                              <w:lang w:eastAsia="lt-LT"/>
                            </w:rPr>
                            <w:t xml:space="preserve">s nukreipiamas į kitą asmens sveikatos priežiūros įstaigą darbo medicinos gydytojo konsultacijai. Už kitos asmens sveikatos priežiūros įstaigos darbo medicinos gydytojo suteiktą konsultaciją Medicinos centras apmoka iš valstybės biudžeto lėšų, skirtų </w:t>
                          </w:r>
                          <w:r>
                            <w:rPr>
                              <w:szCs w:val="24"/>
                            </w:rPr>
                            <w:t>teisė</w:t>
                          </w:r>
                          <w:r>
                            <w:rPr>
                              <w:szCs w:val="24"/>
                            </w:rPr>
                            <w:t>saugos ir teisingumo institucijų pareigūnų ir buvusių pareigūnų sveikatos priežiūrai.</w:t>
                          </w:r>
                          <w:r>
                            <w:rPr>
                              <w:color w:val="000000"/>
                              <w:szCs w:val="24"/>
                            </w:rPr>
                            <w:t>“</w:t>
                          </w:r>
                        </w:p>
                      </w:sdtContent>
                    </w:sdt>
                  </w:sdtContent>
                </w:sdt>
              </w:sdtContent>
            </w:sdt>
            <w:sdt>
              <w:sdtPr>
                <w:alias w:val="3.2 pp."/>
                <w:tag w:val="part_95047ba9fdd84efca1522bb56b94c20d"/>
                <w:id w:val="2026515345"/>
                <w:lock w:val="sdtLocked"/>
              </w:sdtPr>
              <w:sdtEndPr/>
              <w:sdtContent>
                <w:p w:rsidR="000D270F" w:rsidRDefault="00E45EBE">
                  <w:pPr>
                    <w:spacing w:line="360" w:lineRule="auto"/>
                    <w:ind w:firstLine="851"/>
                    <w:jc w:val="both"/>
                    <w:rPr>
                      <w:color w:val="000000"/>
                      <w:szCs w:val="22"/>
                      <w:lang w:eastAsia="lt-LT"/>
                    </w:rPr>
                  </w:pPr>
                  <w:sdt>
                    <w:sdtPr>
                      <w:alias w:val="Numeris"/>
                      <w:tag w:val="nr_95047ba9fdd84efca1522bb56b94c20d"/>
                      <w:id w:val="-1888477347"/>
                      <w:lock w:val="sdtLocked"/>
                    </w:sdtPr>
                    <w:sdtEndPr/>
                    <w:sdtContent>
                      <w:r>
                        <w:rPr>
                          <w:color w:val="000000"/>
                          <w:szCs w:val="24"/>
                        </w:rPr>
                        <w:t>3.2</w:t>
                      </w:r>
                    </w:sdtContent>
                  </w:sdt>
                  <w:r>
                    <w:rPr>
                      <w:color w:val="000000"/>
                      <w:szCs w:val="24"/>
                    </w:rPr>
                    <w:t xml:space="preserve">. </w:t>
                  </w:r>
                  <w:r>
                    <w:rPr>
                      <w:color w:val="000000"/>
                      <w:szCs w:val="22"/>
                      <w:lang w:eastAsia="lt-LT"/>
                    </w:rPr>
                    <w:t>Pakeičiu 64 punktą ir jį išdėstau taip</w:t>
                  </w:r>
                  <w:r>
                    <w:rPr>
                      <w:color w:val="000000"/>
                      <w:szCs w:val="24"/>
                      <w:lang w:eastAsia="lt-LT"/>
                    </w:rPr>
                    <w:t>:</w:t>
                  </w:r>
                </w:p>
                <w:sdt>
                  <w:sdtPr>
                    <w:alias w:val="citata"/>
                    <w:tag w:val="part_dcab702f93c043169a7446000a4576c1"/>
                    <w:id w:val="-424965339"/>
                    <w:lock w:val="sdtLocked"/>
                  </w:sdtPr>
                  <w:sdtEndPr/>
                  <w:sdtContent>
                    <w:sdt>
                      <w:sdtPr>
                        <w:alias w:val="64 p."/>
                        <w:tag w:val="part_344c218f38514e55be90a9fcfc22831a"/>
                        <w:id w:val="2133510557"/>
                        <w:lock w:val="sdtLocked"/>
                      </w:sdtPr>
                      <w:sdtEndPr/>
                      <w:sdtContent>
                        <w:p w:rsidR="000D270F" w:rsidRDefault="00E45EBE">
                          <w:pPr>
                            <w:spacing w:line="360" w:lineRule="auto"/>
                            <w:ind w:firstLine="851"/>
                            <w:jc w:val="both"/>
                            <w:rPr>
                              <w:szCs w:val="24"/>
                              <w:lang w:eastAsia="lt-LT"/>
                            </w:rPr>
                          </w:pPr>
                          <w:r>
                            <w:rPr>
                              <w:szCs w:val="24"/>
                              <w:lang w:eastAsia="lt-LT"/>
                            </w:rPr>
                            <w:t>„</w:t>
                          </w:r>
                          <w:sdt>
                            <w:sdtPr>
                              <w:alias w:val="Numeris"/>
                              <w:tag w:val="nr_344c218f38514e55be90a9fcfc22831a"/>
                              <w:id w:val="2078944524"/>
                              <w:lock w:val="sdtLocked"/>
                            </w:sdtPr>
                            <w:sdtEndPr/>
                            <w:sdtContent>
                              <w:r>
                                <w:rPr>
                                  <w:szCs w:val="24"/>
                                  <w:lang w:eastAsia="lt-LT"/>
                                </w:rPr>
                                <w:t>64</w:t>
                              </w:r>
                            </w:sdtContent>
                          </w:sdt>
                          <w:r>
                            <w:rPr>
                              <w:szCs w:val="24"/>
                              <w:lang w:eastAsia="lt-LT"/>
                            </w:rPr>
                            <w:t>. Medicinos centro arba kitos asmens sveikatos priežiūros įstaigos darbo medicinos gydytojas (toliau – darbo me</w:t>
                          </w:r>
                          <w:r>
                            <w:rPr>
                              <w:szCs w:val="24"/>
                              <w:lang w:eastAsia="lt-LT"/>
                            </w:rPr>
                            <w:t xml:space="preserv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w:t>
                          </w:r>
                          <w:r>
                            <w:rPr>
                              <w:szCs w:val="24"/>
                              <w:lang w:eastAsia="lt-LT"/>
                            </w:rPr>
                            <w:t>inei įstaigai, Fondo valdybos teritoriniam skyriui arba Karinių ir joms prilygintų struktūrų skyriui ir Nacionaliniam visuomenės sveikatos centrui pranešimą apie įtariamą profesinę ligą (2 priedas). Kitos asmens sveikatos priežiūros įstaigos darbo medicino</w:t>
                          </w:r>
                          <w:r>
                            <w:rPr>
                              <w:szCs w:val="24"/>
                              <w:lang w:eastAsia="lt-LT"/>
                            </w:rPr>
                            <w:t>s gydytojas pranešimą apie įtariamą profesinę ligą (2 priedas) paštu ar elektroniniu paštu išsiunčia taip pat ir Medicinos centrui.“</w:t>
                          </w:r>
                        </w:p>
                      </w:sdtContent>
                    </w:sdt>
                  </w:sdtContent>
                </w:sdt>
              </w:sdtContent>
            </w:sdt>
            <w:sdt>
              <w:sdtPr>
                <w:alias w:val="3.3 pp."/>
                <w:tag w:val="part_0d8f75e6c9184c54abf9dbf9e1e93654"/>
                <w:id w:val="-248583064"/>
                <w:lock w:val="sdtLocked"/>
              </w:sdtPr>
              <w:sdtEndPr/>
              <w:sdtContent>
                <w:p w:rsidR="000D270F" w:rsidRDefault="00E45EBE">
                  <w:pPr>
                    <w:spacing w:line="360" w:lineRule="auto"/>
                    <w:ind w:firstLine="851"/>
                    <w:jc w:val="both"/>
                    <w:rPr>
                      <w:szCs w:val="24"/>
                      <w:lang w:eastAsia="lt-LT"/>
                    </w:rPr>
                  </w:pPr>
                  <w:sdt>
                    <w:sdtPr>
                      <w:alias w:val="Numeris"/>
                      <w:tag w:val="nr_0d8f75e6c9184c54abf9dbf9e1e93654"/>
                      <w:id w:val="-1538041712"/>
                      <w:lock w:val="sdtLocked"/>
                    </w:sdtPr>
                    <w:sdtEndPr/>
                    <w:sdtContent>
                      <w:r>
                        <w:rPr>
                          <w:szCs w:val="24"/>
                          <w:lang w:eastAsia="lt-LT"/>
                        </w:rPr>
                        <w:t>3.3</w:t>
                      </w:r>
                    </w:sdtContent>
                  </w:sdt>
                  <w:r>
                    <w:rPr>
                      <w:szCs w:val="24"/>
                      <w:lang w:eastAsia="lt-LT"/>
                    </w:rPr>
                    <w:t xml:space="preserve">. </w:t>
                  </w:r>
                  <w:r>
                    <w:rPr>
                      <w:color w:val="000000"/>
                      <w:szCs w:val="22"/>
                      <w:lang w:eastAsia="lt-LT"/>
                    </w:rPr>
                    <w:t>Pakeičiu 86 punktą ir jį išdėstau taip</w:t>
                  </w:r>
                  <w:r>
                    <w:rPr>
                      <w:color w:val="000000"/>
                      <w:szCs w:val="24"/>
                      <w:lang w:eastAsia="lt-LT"/>
                    </w:rPr>
                    <w:t>:</w:t>
                  </w:r>
                </w:p>
                <w:sdt>
                  <w:sdtPr>
                    <w:alias w:val="citata"/>
                    <w:tag w:val="part_57301f809c084940beba458d78a25c3e"/>
                    <w:id w:val="232435970"/>
                    <w:lock w:val="sdtLocked"/>
                  </w:sdtPr>
                  <w:sdtEndPr/>
                  <w:sdtContent>
                    <w:sdt>
                      <w:sdtPr>
                        <w:alias w:val="86 p."/>
                        <w:tag w:val="part_a47e0edfc7b7455287de6f07df5c0b96"/>
                        <w:id w:val="893314881"/>
                        <w:lock w:val="sdtLocked"/>
                      </w:sdtPr>
                      <w:sdtEndPr/>
                      <w:sdtContent>
                        <w:p w:rsidR="000D270F" w:rsidRDefault="00E45EBE">
                          <w:pPr>
                            <w:spacing w:line="360" w:lineRule="auto"/>
                            <w:ind w:firstLine="851"/>
                            <w:jc w:val="both"/>
                            <w:rPr>
                              <w:color w:val="000000"/>
                              <w:szCs w:val="24"/>
                              <w:lang w:eastAsia="lt-LT"/>
                            </w:rPr>
                          </w:pPr>
                          <w:r>
                            <w:rPr>
                              <w:szCs w:val="24"/>
                              <w:lang w:eastAsia="lt-LT"/>
                            </w:rPr>
                            <w:t>„</w:t>
                          </w:r>
                          <w:sdt>
                            <w:sdtPr>
                              <w:alias w:val="Numeris"/>
                              <w:tag w:val="nr_a47e0edfc7b7455287de6f07df5c0b96"/>
                              <w:id w:val="-629871456"/>
                              <w:lock w:val="sdtLocked"/>
                            </w:sdtPr>
                            <w:sdtEndPr/>
                            <w:sdtContent>
                              <w:r>
                                <w:rPr>
                                  <w:color w:val="000000"/>
                                  <w:szCs w:val="24"/>
                                  <w:lang w:eastAsia="lt-LT"/>
                                </w:rPr>
                                <w:t>86</w:t>
                              </w:r>
                            </w:sdtContent>
                          </w:sdt>
                          <w:r>
                            <w:rPr>
                              <w:color w:val="000000"/>
                              <w:szCs w:val="24"/>
                              <w:lang w:eastAsia="lt-LT"/>
                            </w:rPr>
                            <w:t>. Darbo medicinos gydytojas, nustatęs profesinės ligos (-ų) diagn</w:t>
                          </w:r>
                          <w:r>
                            <w:rPr>
                              <w:color w:val="000000"/>
                              <w:szCs w:val="24"/>
                              <w:lang w:eastAsia="lt-LT"/>
                            </w:rPr>
                            <w:t>ozę (-</w:t>
                          </w:r>
                          <w:proofErr w:type="spellStart"/>
                          <w:r>
                            <w:rPr>
                              <w:color w:val="000000"/>
                              <w:szCs w:val="24"/>
                              <w:lang w:eastAsia="lt-LT"/>
                            </w:rPr>
                            <w:t>es</w:t>
                          </w:r>
                          <w:proofErr w:type="spellEnd"/>
                          <w:r>
                            <w:rPr>
                              <w:color w:val="000000"/>
                              <w:szCs w:val="24"/>
                              <w:lang w:eastAsia="lt-LT"/>
                            </w:rPr>
                            <w:t>) arba jos (jų) nenustatęs, užpildo ir pasirašo Profesinės ligos patvirtinimo aktą (3 priedas), įteikia jį pareigūnui ar kursantui ir per 3 darbo dienas paštu, elektroniniu paštu ar kitomis ryšio priemonėmis išsiunčia statutinei įstaigai, o jei dar</w:t>
                          </w:r>
                          <w:r>
                            <w:rPr>
                              <w:color w:val="000000"/>
                              <w:szCs w:val="24"/>
                              <w:lang w:eastAsia="lt-LT"/>
                            </w:rPr>
                            <w:t>bo medicinos gydytojas dirba ne Medicinos centre, bet kitoje asmens sveikatos priežiūros įstaigoje, – ir Medicinos centrui.“</w:t>
                          </w:r>
                        </w:p>
                      </w:sdtContent>
                    </w:sdt>
                  </w:sdtContent>
                </w:sdt>
              </w:sdtContent>
            </w:sdt>
            <w:sdt>
              <w:sdtPr>
                <w:alias w:val="3.4 pp."/>
                <w:tag w:val="part_32278383a0c9483aa754ebf00a128bc6"/>
                <w:id w:val="1096223578"/>
                <w:lock w:val="sdtLocked"/>
              </w:sdtPr>
              <w:sdtEndPr/>
              <w:sdtContent>
                <w:p w:rsidR="000D270F" w:rsidRDefault="00E45EBE">
                  <w:pPr>
                    <w:spacing w:line="360" w:lineRule="auto"/>
                    <w:ind w:firstLine="851"/>
                    <w:jc w:val="both"/>
                    <w:rPr>
                      <w:color w:val="000000"/>
                      <w:szCs w:val="24"/>
                      <w:lang w:eastAsia="lt-LT"/>
                    </w:rPr>
                  </w:pPr>
                  <w:sdt>
                    <w:sdtPr>
                      <w:alias w:val="Numeris"/>
                      <w:tag w:val="nr_32278383a0c9483aa754ebf00a128bc6"/>
                      <w:id w:val="-830135429"/>
                      <w:lock w:val="sdtLocked"/>
                    </w:sdtPr>
                    <w:sdtEndPr/>
                    <w:sdtContent>
                      <w:r>
                        <w:rPr>
                          <w:color w:val="000000"/>
                          <w:szCs w:val="24"/>
                          <w:lang w:eastAsia="lt-LT"/>
                        </w:rPr>
                        <w:t>3.4</w:t>
                      </w:r>
                    </w:sdtContent>
                  </w:sdt>
                  <w:r>
                    <w:rPr>
                      <w:color w:val="000000"/>
                      <w:szCs w:val="24"/>
                      <w:lang w:eastAsia="lt-LT"/>
                    </w:rPr>
                    <w:t xml:space="preserve">. </w:t>
                  </w:r>
                  <w:r>
                    <w:rPr>
                      <w:color w:val="000000"/>
                      <w:szCs w:val="22"/>
                      <w:lang w:eastAsia="lt-LT"/>
                    </w:rPr>
                    <w:t>Pakeičiu 94 punktą ir jį išdėstau taip</w:t>
                  </w:r>
                  <w:r>
                    <w:rPr>
                      <w:color w:val="000000"/>
                      <w:szCs w:val="24"/>
                      <w:lang w:eastAsia="lt-LT"/>
                    </w:rPr>
                    <w:t>:</w:t>
                  </w:r>
                </w:p>
                <w:sdt>
                  <w:sdtPr>
                    <w:alias w:val="citata"/>
                    <w:tag w:val="part_b281671885614b09b9769615b28e545b"/>
                    <w:id w:val="-1588220492"/>
                    <w:lock w:val="sdtLocked"/>
                  </w:sdtPr>
                  <w:sdtEndPr/>
                  <w:sdtContent>
                    <w:sdt>
                      <w:sdtPr>
                        <w:alias w:val="94 p."/>
                        <w:tag w:val="part_03c85959f72a45aeb3c3d01d7fa6d96b"/>
                        <w:id w:val="1409733366"/>
                        <w:lock w:val="sdtLocked"/>
                      </w:sdtPr>
                      <w:sdtEndPr/>
                      <w:sdtContent>
                        <w:p w:rsidR="000D270F" w:rsidRDefault="00E45EBE" w:rsidP="00E45EBE">
                          <w:pPr>
                            <w:spacing w:line="360" w:lineRule="auto"/>
                            <w:ind w:firstLine="851"/>
                            <w:jc w:val="both"/>
                          </w:pPr>
                          <w:r>
                            <w:rPr>
                              <w:color w:val="000000"/>
                              <w:szCs w:val="24"/>
                              <w:lang w:eastAsia="lt-LT"/>
                            </w:rPr>
                            <w:t>„</w:t>
                          </w:r>
                          <w:sdt>
                            <w:sdtPr>
                              <w:alias w:val="Numeris"/>
                              <w:tag w:val="nr_03c85959f72a45aeb3c3d01d7fa6d96b"/>
                              <w:id w:val="1993980252"/>
                              <w:lock w:val="sdtLocked"/>
                            </w:sdtPr>
                            <w:sdtEndPr/>
                            <w:sdtContent>
                              <w:r>
                                <w:rPr>
                                  <w:szCs w:val="24"/>
                                  <w:lang w:eastAsia="lt-LT"/>
                                </w:rPr>
                                <w:t>94</w:t>
                              </w:r>
                            </w:sdtContent>
                          </w:sdt>
                          <w:r>
                            <w:rPr>
                              <w:szCs w:val="24"/>
                              <w:lang w:eastAsia="lt-LT"/>
                            </w:rPr>
                            <w:t xml:space="preserve">. </w:t>
                          </w:r>
                          <w:r>
                            <w:rPr>
                              <w:color w:val="000000"/>
                              <w:szCs w:val="24"/>
                              <w:lang w:eastAsia="lt-LT"/>
                            </w:rPr>
                            <w:t>Centrinė darbo medicinos ekspertų komisija per 3 darbo dienas nuo Centrinės darbo medicinos ekspertų komisijos išvados surašymo paštu, elektroniniu paštu ar kitomis ryšio priemonėmis išsiunčia po vieną jos egzempliorių darbo medicinos gydytojui, nustačiusi</w:t>
                          </w:r>
                          <w:r>
                            <w:rPr>
                              <w:color w:val="000000"/>
                              <w:szCs w:val="24"/>
                              <w:lang w:eastAsia="lt-LT"/>
                            </w:rPr>
                            <w:t>am profesinės (-</w:t>
                          </w:r>
                          <w:proofErr w:type="spellStart"/>
                          <w:r>
                            <w:rPr>
                              <w:color w:val="000000"/>
                              <w:szCs w:val="24"/>
                              <w:lang w:eastAsia="lt-LT"/>
                            </w:rPr>
                            <w:t>ių</w:t>
                          </w:r>
                          <w:proofErr w:type="spellEnd"/>
                          <w:r>
                            <w:rPr>
                              <w:color w:val="000000"/>
                              <w:szCs w:val="24"/>
                              <w:lang w:eastAsia="lt-LT"/>
                            </w:rPr>
                            <w:t>) ligos (-ų) diagnozę (-</w:t>
                          </w:r>
                          <w:proofErr w:type="spellStart"/>
                          <w:r>
                            <w:rPr>
                              <w:color w:val="000000"/>
                              <w:szCs w:val="24"/>
                              <w:lang w:eastAsia="lt-LT"/>
                            </w:rPr>
                            <w:t>es</w:t>
                          </w:r>
                          <w:proofErr w:type="spellEnd"/>
                          <w:r>
                            <w:rPr>
                              <w:color w:val="000000"/>
                              <w:szCs w:val="24"/>
                              <w:lang w:eastAsia="lt-LT"/>
                            </w:rPr>
                            <w:t xml:space="preserve">) ar jos (jų) nenustačiusiam, o jei šiame punkte nurodytas darbo medicinos gydytojas dirba ne Medicinos centre, bet kitoje asmens sveikatos priežiūros įstaigoje, – ir Medicinos centrui, pareigūnui ar kursantui, </w:t>
                          </w:r>
                          <w:r>
                            <w:rPr>
                              <w:szCs w:val="24"/>
                              <w:lang w:eastAsia="lt-LT"/>
                            </w:rPr>
                            <w:t>s</w:t>
                          </w:r>
                          <w:r>
                            <w:rPr>
                              <w:szCs w:val="24"/>
                              <w:lang w:eastAsia="lt-LT"/>
                            </w:rPr>
                            <w:t>tatutinei įstaigai (-</w:t>
                          </w:r>
                          <w:proofErr w:type="spellStart"/>
                          <w:r>
                            <w:rPr>
                              <w:szCs w:val="24"/>
                              <w:lang w:eastAsia="lt-LT"/>
                            </w:rPr>
                            <w:t>oms</w:t>
                          </w:r>
                          <w:proofErr w:type="spellEnd"/>
                          <w:r>
                            <w:rPr>
                              <w:color w:val="000000"/>
                              <w:szCs w:val="24"/>
                              <w:lang w:eastAsia="lt-LT"/>
                            </w:rPr>
                            <w:t>), kurioje (-</w:t>
                          </w:r>
                          <w:proofErr w:type="spellStart"/>
                          <w:r>
                            <w:rPr>
                              <w:color w:val="000000"/>
                              <w:szCs w:val="24"/>
                              <w:lang w:eastAsia="lt-LT"/>
                            </w:rPr>
                            <w:t>iose</w:t>
                          </w:r>
                          <w:proofErr w:type="spellEnd"/>
                          <w:r>
                            <w:rPr>
                              <w:color w:val="000000"/>
                              <w:szCs w:val="24"/>
                              <w:lang w:eastAsia="lt-LT"/>
                            </w:rPr>
                            <w:t xml:space="preserve">) buvo atliekamas pareigūno ar kursanto darbo ar mokymosi sąlygų tyrimas, Fondo valdybos teritoriniam skyriui arba Karinių ir joms prilygintų struktūrų skyriui, </w:t>
                          </w:r>
                          <w:r>
                            <w:rPr>
                              <w:szCs w:val="24"/>
                              <w:lang w:eastAsia="lt-LT"/>
                            </w:rPr>
                            <w:t>o jeigu Centrinės darbo medicinos ekspertų komisijos i</w:t>
                          </w:r>
                          <w:r>
                            <w:rPr>
                              <w:szCs w:val="24"/>
                              <w:lang w:eastAsia="lt-LT"/>
                            </w:rPr>
                            <w:t>švada surašyta dėl profesinės ligos nepagrįstumo, panaikinant profesinės ligos diagnozę (-</w:t>
                          </w:r>
                          <w:proofErr w:type="spellStart"/>
                          <w:r>
                            <w:rPr>
                              <w:szCs w:val="24"/>
                              <w:lang w:eastAsia="lt-LT"/>
                            </w:rPr>
                            <w:t>es</w:t>
                          </w:r>
                          <w:proofErr w:type="spellEnd"/>
                          <w:r>
                            <w:rPr>
                              <w:szCs w:val="24"/>
                              <w:lang w:eastAsia="lt-LT"/>
                            </w:rPr>
                            <w:t>), vieną jos egzempliorių – ir Profesinių ligų valstybės registro tvarkytojui.“</w:t>
                          </w:r>
                        </w:p>
                      </w:sdtContent>
                    </w:sdt>
                  </w:sdtContent>
                </w:sdt>
              </w:sdtContent>
            </w:sdt>
          </w:sdtContent>
        </w:sdt>
        <w:sdt>
          <w:sdtPr>
            <w:alias w:val="signatura"/>
            <w:tag w:val="part_21fffa03265c4b80a100034c306602cf"/>
            <w:id w:val="4870392"/>
            <w:lock w:val="sdtLocked"/>
          </w:sdtPr>
          <w:sdtEndPr/>
          <w:sdtContent>
            <w:bookmarkStart w:id="0" w:name="_GoBack" w:displacedByCustomXml="prev"/>
            <w:p w:rsidR="00E45EBE" w:rsidRDefault="00E45EBE" w:rsidP="00E45EBE">
              <w:pPr>
                <w:tabs>
                  <w:tab w:val="right" w:pos="9639"/>
                </w:tabs>
              </w:pPr>
            </w:p>
            <w:p w:rsidR="00E45EBE" w:rsidRDefault="00E45EBE" w:rsidP="00E45EBE">
              <w:pPr>
                <w:tabs>
                  <w:tab w:val="right" w:pos="9639"/>
                </w:tabs>
              </w:pPr>
            </w:p>
            <w:p w:rsidR="00E45EBE" w:rsidRDefault="00E45EBE" w:rsidP="00E45EBE">
              <w:pPr>
                <w:tabs>
                  <w:tab w:val="right" w:pos="9639"/>
                </w:tabs>
              </w:pPr>
            </w:p>
            <w:bookmarkEnd w:id="0"/>
            <w:p w:rsidR="000D270F" w:rsidRDefault="00E45EBE">
              <w:pPr>
                <w:tabs>
                  <w:tab w:val="right" w:pos="9639"/>
                </w:tabs>
                <w:spacing w:line="360" w:lineRule="auto"/>
              </w:pPr>
              <w:r>
                <w:t>Vidaus reikalų ministrė</w:t>
              </w:r>
              <w:r>
                <w:tab/>
                <w:t xml:space="preserve">Agnė </w:t>
              </w:r>
              <w:proofErr w:type="spellStart"/>
              <w:r>
                <w:t>Bilotaitė</w:t>
              </w:r>
              <w:proofErr w:type="spellEnd"/>
            </w:p>
            <w:p w:rsidR="000D270F" w:rsidRDefault="000D270F">
              <w:pPr>
                <w:tabs>
                  <w:tab w:val="right" w:pos="9639"/>
                </w:tabs>
                <w:spacing w:line="360" w:lineRule="auto"/>
              </w:pPr>
            </w:p>
            <w:p w:rsidR="000D270F" w:rsidRDefault="000D270F">
              <w:pPr>
                <w:tabs>
                  <w:tab w:val="right" w:pos="9639"/>
                </w:tabs>
                <w:spacing w:line="276" w:lineRule="auto"/>
              </w:pPr>
            </w:p>
            <w:tbl>
              <w:tblPr>
                <w:tblW w:w="9639" w:type="dxa"/>
                <w:tblLook w:val="04A0" w:firstRow="1" w:lastRow="0" w:firstColumn="1" w:lastColumn="0" w:noHBand="0" w:noVBand="1"/>
              </w:tblPr>
              <w:tblGrid>
                <w:gridCol w:w="5812"/>
                <w:gridCol w:w="3827"/>
              </w:tblGrid>
              <w:tr w:rsidR="000D270F">
                <w:tc>
                  <w:tcPr>
                    <w:tcW w:w="5812" w:type="dxa"/>
                  </w:tcPr>
                  <w:p w:rsidR="000D270F" w:rsidRDefault="00E45EBE">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SUDERINTA</w:t>
                    </w:r>
                  </w:p>
                  <w:p w:rsidR="000D270F" w:rsidRDefault="00E45EBE">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Lietuvos Respublikos</w:t>
                    </w:r>
                  </w:p>
                  <w:p w:rsidR="000D270F" w:rsidRDefault="00E45EBE">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f</w:t>
                    </w:r>
                    <w:r>
                      <w:rPr>
                        <w:rFonts w:eastAsia="Andale Sans UI" w:cs="Tahoma"/>
                        <w:color w:val="000000"/>
                        <w:kern w:val="3"/>
                        <w:szCs w:val="24"/>
                        <w:lang w:bidi="en-US"/>
                      </w:rPr>
                      <w:t>inansų ministerijos</w:t>
                    </w:r>
                  </w:p>
                  <w:p w:rsidR="000D270F" w:rsidRDefault="00E45EBE">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 xml:space="preserve">2021 m. liepos 7 d. raštu </w:t>
                    </w:r>
                  </w:p>
                  <w:p w:rsidR="000D270F" w:rsidRDefault="00E45EBE">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Nr. ((2.121Mr-06)-5K-2111518)-6K-2104168</w:t>
                    </w:r>
                  </w:p>
                  <w:p w:rsidR="000D270F" w:rsidRDefault="000D270F">
                    <w:pPr>
                      <w:tabs>
                        <w:tab w:val="right" w:pos="9639"/>
                      </w:tabs>
                      <w:spacing w:line="276" w:lineRule="auto"/>
                      <w:rPr>
                        <w:rFonts w:eastAsia="Andale Sans UI" w:cs="Tahoma"/>
                        <w:color w:val="000000"/>
                        <w:kern w:val="3"/>
                        <w:szCs w:val="24"/>
                        <w:lang w:bidi="en-US"/>
                      </w:rPr>
                    </w:pPr>
                  </w:p>
                </w:tc>
                <w:tc>
                  <w:tcPr>
                    <w:tcW w:w="3827" w:type="dxa"/>
                  </w:tcPr>
                  <w:p w:rsidR="000D270F" w:rsidRDefault="00E45EBE">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SUDERINTA</w:t>
                    </w:r>
                  </w:p>
                  <w:p w:rsidR="000D270F" w:rsidRDefault="00E45EBE">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Lietuvos Respublikos</w:t>
                    </w:r>
                  </w:p>
                  <w:p w:rsidR="000D270F" w:rsidRDefault="00E45EBE">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teisingumo ministerijos</w:t>
                    </w:r>
                  </w:p>
                  <w:p w:rsidR="000D270F" w:rsidRDefault="00E45EBE">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 xml:space="preserve">2021 m. birželio 30 d. raštu </w:t>
                    </w:r>
                  </w:p>
                  <w:p w:rsidR="000D270F" w:rsidRDefault="00E45EBE">
                    <w:pPr>
                      <w:tabs>
                        <w:tab w:val="right" w:pos="9639"/>
                      </w:tabs>
                      <w:spacing w:line="276" w:lineRule="auto"/>
                    </w:pPr>
                    <w:r>
                      <w:rPr>
                        <w:rFonts w:eastAsia="Andale Sans UI" w:cs="Tahoma"/>
                        <w:color w:val="000000"/>
                        <w:kern w:val="3"/>
                        <w:szCs w:val="24"/>
                        <w:lang w:bidi="en-US"/>
                      </w:rPr>
                      <w:t>Nr. (1.86Mr) 2T-688</w:t>
                    </w:r>
                  </w:p>
                </w:tc>
              </w:tr>
            </w:tbl>
            <w:p w:rsidR="000D270F" w:rsidRDefault="00E45EBE"/>
          </w:sdtContent>
        </w:sdt>
      </w:sdtContent>
    </w:sdt>
    <w:sectPr w:rsidR="000D270F">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270F" w:rsidRDefault="00E45EBE">
      <w:r>
        <w:separator/>
      </w:r>
    </w:p>
  </w:endnote>
  <w:endnote w:type="continuationSeparator" w:id="0">
    <w:p w:rsidR="000D270F" w:rsidRDefault="00E45E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70F" w:rsidRDefault="000D270F">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70F" w:rsidRDefault="000D270F">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70F" w:rsidRDefault="000D270F">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270F" w:rsidRDefault="00E45EBE">
      <w:r>
        <w:separator/>
      </w:r>
    </w:p>
  </w:footnote>
  <w:footnote w:type="continuationSeparator" w:id="0">
    <w:p w:rsidR="000D270F" w:rsidRDefault="00E45E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70F" w:rsidRDefault="00E45EBE">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rsidR="000D270F" w:rsidRDefault="000D270F">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70F" w:rsidRDefault="00E45EBE">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noProof/>
        <w:lang w:val="en-GB"/>
      </w:rPr>
      <w:t>3</w:t>
    </w:r>
    <w:r>
      <w:rPr>
        <w:lang w:val="en-GB"/>
      </w:rPr>
      <w:fldChar w:fldCharType="end"/>
    </w:r>
  </w:p>
  <w:p w:rsidR="000D270F" w:rsidRDefault="000D270F">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70F" w:rsidRDefault="000D270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7929"/>
    <w:rsid w:val="000D270F"/>
    <w:rsid w:val="00377929"/>
    <w:rsid w:val="00E45EB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956822">
      <w:bodyDiv w:val="1"/>
      <w:marLeft w:val="0"/>
      <w:marRight w:val="0"/>
      <w:marTop w:val="0"/>
      <w:marBottom w:val="0"/>
      <w:divBdr>
        <w:top w:val="none" w:sz="0" w:space="0" w:color="auto"/>
        <w:left w:val="none" w:sz="0" w:space="0" w:color="auto"/>
        <w:bottom w:val="none" w:sz="0" w:space="0" w:color="auto"/>
        <w:right w:val="none" w:sz="0" w:space="0" w:color="auto"/>
      </w:divBdr>
      <w:divsChild>
        <w:div w:id="1355306221">
          <w:marLeft w:val="0"/>
          <w:marRight w:val="0"/>
          <w:marTop w:val="0"/>
          <w:marBottom w:val="0"/>
          <w:divBdr>
            <w:top w:val="none" w:sz="0" w:space="0" w:color="auto"/>
            <w:left w:val="none" w:sz="0" w:space="0" w:color="auto"/>
            <w:bottom w:val="none" w:sz="0" w:space="0" w:color="auto"/>
            <w:right w:val="none" w:sz="0" w:space="0" w:color="auto"/>
          </w:divBdr>
          <w:divsChild>
            <w:div w:id="311062728">
              <w:marLeft w:val="0"/>
              <w:marRight w:val="0"/>
              <w:marTop w:val="0"/>
              <w:marBottom w:val="0"/>
              <w:divBdr>
                <w:top w:val="none" w:sz="0" w:space="0" w:color="auto"/>
                <w:left w:val="none" w:sz="0" w:space="0" w:color="auto"/>
                <w:bottom w:val="none" w:sz="0" w:space="0" w:color="auto"/>
                <w:right w:val="none" w:sz="0" w:space="0" w:color="auto"/>
              </w:divBdr>
              <w:divsChild>
                <w:div w:id="1063406621">
                  <w:marLeft w:val="0"/>
                  <w:marRight w:val="0"/>
                  <w:marTop w:val="0"/>
                  <w:marBottom w:val="0"/>
                  <w:divBdr>
                    <w:top w:val="none" w:sz="0" w:space="0" w:color="auto"/>
                    <w:left w:val="none" w:sz="0" w:space="0" w:color="auto"/>
                    <w:bottom w:val="none" w:sz="0" w:space="0" w:color="auto"/>
                    <w:right w:val="none" w:sz="0" w:space="0" w:color="auto"/>
                  </w:divBdr>
                </w:div>
                <w:div w:id="21323828">
                  <w:marLeft w:val="0"/>
                  <w:marRight w:val="0"/>
                  <w:marTop w:val="0"/>
                  <w:marBottom w:val="0"/>
                  <w:divBdr>
                    <w:top w:val="none" w:sz="0" w:space="0" w:color="auto"/>
                    <w:left w:val="none" w:sz="0" w:space="0" w:color="auto"/>
                    <w:bottom w:val="none" w:sz="0" w:space="0" w:color="auto"/>
                    <w:right w:val="none" w:sz="0" w:space="0" w:color="auto"/>
                  </w:divBdr>
                </w:div>
                <w:div w:id="1650861951">
                  <w:marLeft w:val="0"/>
                  <w:marRight w:val="0"/>
                  <w:marTop w:val="0"/>
                  <w:marBottom w:val="0"/>
                  <w:divBdr>
                    <w:top w:val="none" w:sz="0" w:space="0" w:color="auto"/>
                    <w:left w:val="none" w:sz="0" w:space="0" w:color="auto"/>
                    <w:bottom w:val="none" w:sz="0" w:space="0" w:color="auto"/>
                    <w:right w:val="none" w:sz="0" w:space="0" w:color="auto"/>
                  </w:divBdr>
                </w:div>
                <w:div w:id="1179543364">
                  <w:marLeft w:val="0"/>
                  <w:marRight w:val="0"/>
                  <w:marTop w:val="0"/>
                  <w:marBottom w:val="0"/>
                  <w:divBdr>
                    <w:top w:val="none" w:sz="0" w:space="0" w:color="auto"/>
                    <w:left w:val="none" w:sz="0" w:space="0" w:color="auto"/>
                    <w:bottom w:val="none" w:sz="0" w:space="0" w:color="auto"/>
                    <w:right w:val="none" w:sz="0" w:space="0" w:color="auto"/>
                  </w:divBdr>
                </w:div>
                <w:div w:id="1309363147">
                  <w:marLeft w:val="0"/>
                  <w:marRight w:val="0"/>
                  <w:marTop w:val="0"/>
                  <w:marBottom w:val="0"/>
                  <w:divBdr>
                    <w:top w:val="none" w:sz="0" w:space="0" w:color="auto"/>
                    <w:left w:val="none" w:sz="0" w:space="0" w:color="auto"/>
                    <w:bottom w:val="none" w:sz="0" w:space="0" w:color="auto"/>
                    <w:right w:val="none" w:sz="0" w:space="0" w:color="auto"/>
                  </w:divBdr>
                </w:div>
                <w:div w:id="917247174">
                  <w:marLeft w:val="0"/>
                  <w:marRight w:val="0"/>
                  <w:marTop w:val="0"/>
                  <w:marBottom w:val="0"/>
                  <w:divBdr>
                    <w:top w:val="none" w:sz="0" w:space="0" w:color="auto"/>
                    <w:left w:val="none" w:sz="0" w:space="0" w:color="auto"/>
                    <w:bottom w:val="none" w:sz="0" w:space="0" w:color="auto"/>
                    <w:right w:val="none" w:sz="0" w:space="0" w:color="auto"/>
                  </w:divBdr>
                </w:div>
                <w:div w:id="1824076121">
                  <w:marLeft w:val="0"/>
                  <w:marRight w:val="0"/>
                  <w:marTop w:val="0"/>
                  <w:marBottom w:val="0"/>
                  <w:divBdr>
                    <w:top w:val="none" w:sz="0" w:space="0" w:color="auto"/>
                    <w:left w:val="none" w:sz="0" w:space="0" w:color="auto"/>
                    <w:bottom w:val="none" w:sz="0" w:space="0" w:color="auto"/>
                    <w:right w:val="none" w:sz="0" w:space="0" w:color="auto"/>
                  </w:divBdr>
                </w:div>
                <w:div w:id="1004012342">
                  <w:marLeft w:val="0"/>
                  <w:marRight w:val="0"/>
                  <w:marTop w:val="0"/>
                  <w:marBottom w:val="0"/>
                  <w:divBdr>
                    <w:top w:val="none" w:sz="0" w:space="0" w:color="auto"/>
                    <w:left w:val="none" w:sz="0" w:space="0" w:color="auto"/>
                    <w:bottom w:val="none" w:sz="0" w:space="0" w:color="auto"/>
                    <w:right w:val="none" w:sz="0" w:space="0" w:color="auto"/>
                  </w:divBdr>
                </w:div>
                <w:div w:id="791244279">
                  <w:marLeft w:val="0"/>
                  <w:marRight w:val="0"/>
                  <w:marTop w:val="0"/>
                  <w:marBottom w:val="0"/>
                  <w:divBdr>
                    <w:top w:val="none" w:sz="0" w:space="0" w:color="auto"/>
                    <w:left w:val="none" w:sz="0" w:space="0" w:color="auto"/>
                    <w:bottom w:val="none" w:sz="0" w:space="0" w:color="auto"/>
                    <w:right w:val="none" w:sz="0" w:space="0" w:color="auto"/>
                  </w:divBdr>
                </w:div>
                <w:div w:id="1419402264">
                  <w:marLeft w:val="0"/>
                  <w:marRight w:val="0"/>
                  <w:marTop w:val="0"/>
                  <w:marBottom w:val="0"/>
                  <w:divBdr>
                    <w:top w:val="none" w:sz="0" w:space="0" w:color="auto"/>
                    <w:left w:val="none" w:sz="0" w:space="0" w:color="auto"/>
                    <w:bottom w:val="none" w:sz="0" w:space="0" w:color="auto"/>
                    <w:right w:val="none" w:sz="0" w:space="0" w:color="auto"/>
                  </w:divBdr>
                </w:div>
                <w:div w:id="852182602">
                  <w:marLeft w:val="0"/>
                  <w:marRight w:val="0"/>
                  <w:marTop w:val="0"/>
                  <w:marBottom w:val="0"/>
                  <w:divBdr>
                    <w:top w:val="none" w:sz="0" w:space="0" w:color="auto"/>
                    <w:left w:val="none" w:sz="0" w:space="0" w:color="auto"/>
                    <w:bottom w:val="none" w:sz="0" w:space="0" w:color="auto"/>
                    <w:right w:val="none" w:sz="0" w:space="0" w:color="auto"/>
                  </w:divBdr>
                </w:div>
                <w:div w:id="325787159">
                  <w:marLeft w:val="0"/>
                  <w:marRight w:val="0"/>
                  <w:marTop w:val="0"/>
                  <w:marBottom w:val="0"/>
                  <w:divBdr>
                    <w:top w:val="none" w:sz="0" w:space="0" w:color="auto"/>
                    <w:left w:val="none" w:sz="0" w:space="0" w:color="auto"/>
                    <w:bottom w:val="none" w:sz="0" w:space="0" w:color="auto"/>
                    <w:right w:val="none" w:sz="0" w:space="0" w:color="auto"/>
                  </w:divBdr>
                </w:div>
                <w:div w:id="2074155978">
                  <w:marLeft w:val="0"/>
                  <w:marRight w:val="0"/>
                  <w:marTop w:val="0"/>
                  <w:marBottom w:val="0"/>
                  <w:divBdr>
                    <w:top w:val="none" w:sz="0" w:space="0" w:color="auto"/>
                    <w:left w:val="none" w:sz="0" w:space="0" w:color="auto"/>
                    <w:bottom w:val="none" w:sz="0" w:space="0" w:color="auto"/>
                    <w:right w:val="none" w:sz="0" w:space="0" w:color="auto"/>
                  </w:divBdr>
                </w:div>
                <w:div w:id="34656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114943">
      <w:bodyDiv w:val="1"/>
      <w:marLeft w:val="0"/>
      <w:marRight w:val="0"/>
      <w:marTop w:val="0"/>
      <w:marBottom w:val="0"/>
      <w:divBdr>
        <w:top w:val="none" w:sz="0" w:space="0" w:color="auto"/>
        <w:left w:val="none" w:sz="0" w:space="0" w:color="auto"/>
        <w:bottom w:val="none" w:sz="0" w:space="0" w:color="auto"/>
        <w:right w:val="none" w:sz="0" w:space="0" w:color="auto"/>
      </w:divBdr>
    </w:div>
    <w:div w:id="904412343">
      <w:bodyDiv w:val="1"/>
      <w:marLeft w:val="0"/>
      <w:marRight w:val="0"/>
      <w:marTop w:val="0"/>
      <w:marBottom w:val="0"/>
      <w:divBdr>
        <w:top w:val="none" w:sz="0" w:space="0" w:color="auto"/>
        <w:left w:val="none" w:sz="0" w:space="0" w:color="auto"/>
        <w:bottom w:val="none" w:sz="0" w:space="0" w:color="auto"/>
        <w:right w:val="none" w:sz="0" w:space="0" w:color="auto"/>
      </w:divBdr>
      <w:divsChild>
        <w:div w:id="1518349867">
          <w:marLeft w:val="0"/>
          <w:marRight w:val="0"/>
          <w:marTop w:val="0"/>
          <w:marBottom w:val="0"/>
          <w:divBdr>
            <w:top w:val="none" w:sz="0" w:space="0" w:color="auto"/>
            <w:left w:val="none" w:sz="0" w:space="0" w:color="auto"/>
            <w:bottom w:val="none" w:sz="0" w:space="0" w:color="auto"/>
            <w:right w:val="none" w:sz="0" w:space="0" w:color="auto"/>
          </w:divBdr>
          <w:divsChild>
            <w:div w:id="326977443">
              <w:marLeft w:val="0"/>
              <w:marRight w:val="0"/>
              <w:marTop w:val="0"/>
              <w:marBottom w:val="0"/>
              <w:divBdr>
                <w:top w:val="none" w:sz="0" w:space="0" w:color="auto"/>
                <w:left w:val="none" w:sz="0" w:space="0" w:color="auto"/>
                <w:bottom w:val="none" w:sz="0" w:space="0" w:color="auto"/>
                <w:right w:val="none" w:sz="0" w:space="0" w:color="auto"/>
              </w:divBdr>
              <w:divsChild>
                <w:div w:id="63375201">
                  <w:marLeft w:val="0"/>
                  <w:marRight w:val="0"/>
                  <w:marTop w:val="0"/>
                  <w:marBottom w:val="0"/>
                  <w:divBdr>
                    <w:top w:val="none" w:sz="0" w:space="0" w:color="auto"/>
                    <w:left w:val="none" w:sz="0" w:space="0" w:color="auto"/>
                    <w:bottom w:val="none" w:sz="0" w:space="0" w:color="auto"/>
                    <w:right w:val="none" w:sz="0" w:space="0" w:color="auto"/>
                  </w:divBdr>
                  <w:divsChild>
                    <w:div w:id="1942058960">
                      <w:marLeft w:val="0"/>
                      <w:marRight w:val="0"/>
                      <w:marTop w:val="0"/>
                      <w:marBottom w:val="0"/>
                      <w:divBdr>
                        <w:top w:val="none" w:sz="0" w:space="0" w:color="auto"/>
                        <w:left w:val="none" w:sz="0" w:space="0" w:color="auto"/>
                        <w:bottom w:val="none" w:sz="0" w:space="0" w:color="auto"/>
                        <w:right w:val="none" w:sz="0" w:space="0" w:color="auto"/>
                      </w:divBdr>
                      <w:divsChild>
                        <w:div w:id="213976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1212520">
      <w:bodyDiv w:val="1"/>
      <w:marLeft w:val="0"/>
      <w:marRight w:val="0"/>
      <w:marTop w:val="0"/>
      <w:marBottom w:val="0"/>
      <w:divBdr>
        <w:top w:val="none" w:sz="0" w:space="0" w:color="auto"/>
        <w:left w:val="none" w:sz="0" w:space="0" w:color="auto"/>
        <w:bottom w:val="none" w:sz="0" w:space="0" w:color="auto"/>
        <w:right w:val="none" w:sz="0" w:space="0" w:color="auto"/>
      </w:divBdr>
      <w:divsChild>
        <w:div w:id="396905800">
          <w:marLeft w:val="0"/>
          <w:marRight w:val="0"/>
          <w:marTop w:val="0"/>
          <w:marBottom w:val="0"/>
          <w:divBdr>
            <w:top w:val="none" w:sz="0" w:space="0" w:color="auto"/>
            <w:left w:val="none" w:sz="0" w:space="0" w:color="auto"/>
            <w:bottom w:val="none" w:sz="0" w:space="0" w:color="auto"/>
            <w:right w:val="none" w:sz="0" w:space="0" w:color="auto"/>
          </w:divBdr>
        </w:div>
        <w:div w:id="1747604528">
          <w:marLeft w:val="0"/>
          <w:marRight w:val="0"/>
          <w:marTop w:val="0"/>
          <w:marBottom w:val="0"/>
          <w:divBdr>
            <w:top w:val="none" w:sz="0" w:space="0" w:color="auto"/>
            <w:left w:val="none" w:sz="0" w:space="0" w:color="auto"/>
            <w:bottom w:val="none" w:sz="0" w:space="0" w:color="auto"/>
            <w:right w:val="none" w:sz="0" w:space="0" w:color="auto"/>
          </w:divBdr>
        </w:div>
      </w:divsChild>
    </w:div>
    <w:div w:id="1247685037">
      <w:bodyDiv w:val="1"/>
      <w:marLeft w:val="0"/>
      <w:marRight w:val="0"/>
      <w:marTop w:val="0"/>
      <w:marBottom w:val="0"/>
      <w:divBdr>
        <w:top w:val="none" w:sz="0" w:space="0" w:color="auto"/>
        <w:left w:val="none" w:sz="0" w:space="0" w:color="auto"/>
        <w:bottom w:val="none" w:sz="0" w:space="0" w:color="auto"/>
        <w:right w:val="none" w:sz="0" w:space="0" w:color="auto"/>
      </w:divBdr>
      <w:divsChild>
        <w:div w:id="195697419">
          <w:marLeft w:val="0"/>
          <w:marRight w:val="0"/>
          <w:marTop w:val="0"/>
          <w:marBottom w:val="0"/>
          <w:divBdr>
            <w:top w:val="none" w:sz="0" w:space="0" w:color="auto"/>
            <w:left w:val="none" w:sz="0" w:space="0" w:color="auto"/>
            <w:bottom w:val="none" w:sz="0" w:space="0" w:color="auto"/>
            <w:right w:val="none" w:sz="0" w:space="0" w:color="auto"/>
          </w:divBdr>
        </w:div>
        <w:div w:id="192883894">
          <w:marLeft w:val="0"/>
          <w:marRight w:val="0"/>
          <w:marTop w:val="0"/>
          <w:marBottom w:val="0"/>
          <w:divBdr>
            <w:top w:val="none" w:sz="0" w:space="0" w:color="auto"/>
            <w:left w:val="none" w:sz="0" w:space="0" w:color="auto"/>
            <w:bottom w:val="none" w:sz="0" w:space="0" w:color="auto"/>
            <w:right w:val="none" w:sz="0" w:space="0" w:color="auto"/>
          </w:divBdr>
        </w:div>
        <w:div w:id="1272785558">
          <w:marLeft w:val="0"/>
          <w:marRight w:val="0"/>
          <w:marTop w:val="0"/>
          <w:marBottom w:val="0"/>
          <w:divBdr>
            <w:top w:val="none" w:sz="0" w:space="0" w:color="auto"/>
            <w:left w:val="none" w:sz="0" w:space="0" w:color="auto"/>
            <w:bottom w:val="none" w:sz="0" w:space="0" w:color="auto"/>
            <w:right w:val="none" w:sz="0" w:space="0" w:color="auto"/>
          </w:divBdr>
        </w:div>
        <w:div w:id="1395544362">
          <w:marLeft w:val="0"/>
          <w:marRight w:val="0"/>
          <w:marTop w:val="0"/>
          <w:marBottom w:val="0"/>
          <w:divBdr>
            <w:top w:val="none" w:sz="0" w:space="0" w:color="auto"/>
            <w:left w:val="none" w:sz="0" w:space="0" w:color="auto"/>
            <w:bottom w:val="none" w:sz="0" w:space="0" w:color="auto"/>
            <w:right w:val="none" w:sz="0" w:space="0" w:color="auto"/>
          </w:divBdr>
        </w:div>
      </w:divsChild>
    </w:div>
    <w:div w:id="1739205126">
      <w:bodyDiv w:val="1"/>
      <w:marLeft w:val="0"/>
      <w:marRight w:val="0"/>
      <w:marTop w:val="0"/>
      <w:marBottom w:val="0"/>
      <w:divBdr>
        <w:top w:val="none" w:sz="0" w:space="0" w:color="auto"/>
        <w:left w:val="none" w:sz="0" w:space="0" w:color="auto"/>
        <w:bottom w:val="none" w:sz="0" w:space="0" w:color="auto"/>
        <w:right w:val="none" w:sz="0" w:space="0" w:color="auto"/>
      </w:divBdr>
    </w:div>
    <w:div w:id="2039158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cdb6cd1a530430c810851acc25c61d7" PartId="65f0f986b85640ddac7e6ab99f1ddfec">
    <Part Type="pastraipa" DocPartId="ccb59d168a604b7497d2d7b1c16916f0" PartId="ce8f36b12d2e4b6d94c39e6f4f27a377"/>
    <Part Type="punktas" Nr="1" Abbr="1 p." DocPartId="0d7b4fb5689c461d9481fcde5f75e1ff" PartId="1ca291d02595492385561bab3059f22a">
      <Part Type="citata" DocPartId="d48218a7898e4fd2bc6c3b99444fcef7" PartId="562df8d1878d415fb24cc1d7dafc2d8f">
        <Part Type="papunktis" Nr="2.2" Abbr="2.2 pp." DocPartId="b2a79d591b7949be965eac20241bd73f" PartId="a41b34ff639643ab99cc3dd22f7bbc7a"/>
      </Part>
    </Part>
    <Part Type="punktas" Nr="2" Abbr="2 p." DocPartId="d28f26bccd8c4e67b4daaa99e4b74bcd" PartId="cb951bd5c9634a48a15d3f55f4496d17">
      <Part Type="citata" DocPartId="c861f0f1d11a4d6f9e686caf3ecc2cb2" PartId="afa0e0c81ed443e48e3fb741bad6f361">
        <Part Type="papunktis" Nr="2.3" Abbr="2.3 pp." DocPartId="452c6128c471445e9522bf054a4d62b2" PartId="09ee8c77469648ce99f6910e325fc08e"/>
      </Part>
    </Part>
    <Part Type="punktas" Nr="3" Abbr="3 p." DocPartId="1d2b657bfbd04745b3881f7f37594aa9" PartId="3ee1834228a64b9ca841a04c57b1bc83">
      <Part Type="papunktis" Nr="3.1" Abbr="3.1 pp." DocPartId="e2a7cbebc9dc44f3976b63e323ccfa0a" PartId="408fb4eca52640cda475b644af75e494">
        <Part Type="citata" DocPartId="642a1fa30d4d48a1b5ee7dd1ab2f2743" PartId="9122ccb3167a4085875a28492682eed0">
          <Part Type="punktas" Nr="63" Abbr="63 p." DocPartId="5d2a79f4bdbd42158562330f05d86e13" PartId="17c453debf6940d3bb3cd4e28ea62e91"/>
        </Part>
      </Part>
      <Part Type="papunktis" Nr="3.2" Abbr="3.2 pp." DocPartId="88b4423471364fec9d94fc64fe2ee06c" PartId="95047ba9fdd84efca1522bb56b94c20d">
        <Part Type="citata" DocPartId="9944e4cc1a2745f3b7965d0d442f28ff" PartId="dcab702f93c043169a7446000a4576c1">
          <Part Type="punktas" Nr="64" Abbr="64 p." DocPartId="b0e46011e0704c9ba4d3324fcf69fdf0" PartId="344c218f38514e55be90a9fcfc22831a"/>
        </Part>
      </Part>
      <Part Type="papunktis" Nr="3.3" Abbr="3.3 pp." DocPartId="d73140cf607f4bc9b1cb0a9bfe2c724c" PartId="0d8f75e6c9184c54abf9dbf9e1e93654">
        <Part Type="citata" DocPartId="010d517c93fd4ecab6a5bc4606cb08c9" PartId="57301f809c084940beba458d78a25c3e">
          <Part Type="punktas" Nr="86" Abbr="86 p." DocPartId="25f622d544a941feae9029222ed276a8" PartId="a47e0edfc7b7455287de6f07df5c0b96"/>
        </Part>
      </Part>
      <Part Type="papunktis" Nr="3.4" Abbr="3.4 pp." DocPartId="9cfefcedda3340218d09ae6999c66121" PartId="32278383a0c9483aa754ebf00a128bc6">
        <Part Type="citata" DocPartId="b2d6ca1012bb4d508018bb3006e6f4d6" PartId="b281671885614b09b9769615b28e545b">
          <Part Type="punktas" Nr="94" Abbr="94 p." DocPartId="74787f4ff30f4669a990dd5a340bb44e" PartId="03c85959f72a45aeb3c3d01d7fa6d96b"/>
        </Part>
      </Part>
    </Part>
    <Part Type="signatura" DocPartId="bc19da9c601246e08d141780ac713ff5" PartId="21fffa03265c4b80a100034c306602cf"/>
  </Part>
</Parts>
</file>

<file path=customXml/itemProps1.xml><?xml version="1.0" encoding="utf-8"?>
<ds:datastoreItem xmlns:ds="http://schemas.openxmlformats.org/officeDocument/2006/customXml" ds:itemID="{4E14FD71-5BC1-4BA6-BE8D-DB9136F6CB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4314</Words>
  <Characters>2460</Characters>
  <Application>Microsoft Office Word</Application>
  <DocSecurity>0</DocSecurity>
  <Lines>20</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6761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Win2003Stdx32</dc:creator>
  <cp:lastModifiedBy>GUMBYTĖ Danguolė</cp:lastModifiedBy>
  <cp:revision>3</cp:revision>
  <cp:lastPrinted>2019-05-14T13:22:00Z</cp:lastPrinted>
  <dcterms:created xsi:type="dcterms:W3CDTF">2021-08-02T05:27:00Z</dcterms:created>
  <dcterms:modified xsi:type="dcterms:W3CDTF">2021-08-02T05:54:00Z</dcterms:modified>
</cp:coreProperties>
</file>