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94B90DF" wp14:editId="53017EB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DARBO KODEKSO 222 IR 240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gruodžio 11 d. Nr. XIII-1759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222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222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Profesinių sąjungų ir darbdavių organizacijų atstovai – darbo ginčų komisijos nariai – atleidžiami nuo darbo pareigų atlikimo laikotarpiui, per kurį jie dalyvauja darbo ginčų komisijos darbe. Jų </w:t>
      </w:r>
      <w:r>
        <w:rPr>
          <w:color w:val="000000"/>
          <w:szCs w:val="24"/>
          <w:lang w:eastAsia="lt-LT"/>
        </w:rPr>
        <w:t>darbas apmokamas</w:t>
      </w:r>
      <w:r>
        <w:rPr>
          <w:bCs/>
          <w:color w:val="000000"/>
          <w:szCs w:val="24"/>
          <w:lang w:eastAsia="zh-CN"/>
        </w:rPr>
        <w:t xml:space="preserve"> </w:t>
      </w:r>
      <w:r>
        <w:rPr>
          <w:szCs w:val="24"/>
          <w:lang w:eastAsia="lt-LT"/>
        </w:rPr>
        <w:t>Lietuvos Respublikos valstybės ir savivaldybių įstaigų darbuotojų ir komisijų narių darbo apmokėjimo įstatymo</w:t>
      </w:r>
      <w:r>
        <w:rPr>
          <w:szCs w:val="24"/>
        </w:rPr>
        <w:t xml:space="preserve"> nustatyta tvarka, o </w:t>
      </w:r>
      <w:r>
        <w:rPr>
          <w:szCs w:val="24"/>
          <w:lang w:eastAsia="lt-LT"/>
        </w:rPr>
        <w:t>kelionės išlaidų dydžius ir jų apmokėjimo tvarką nustato Lietuvos Respublikos socialinės apsaugos ir darbo ministras.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240 straipsnio 6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 xml:space="preserve">. Arbitrai, kuriuos iš arbitrų sąrašo pasirenka kolektyvinio darbo ginčo dėl interesų šalys, šio ginčo nagrinėjimo laikotarpiu atleidžiami nuo darbo pareigų. Arbitrų </w:t>
      </w:r>
      <w:r>
        <w:rPr>
          <w:color w:val="000000"/>
          <w:szCs w:val="24"/>
          <w:lang w:eastAsia="lt-LT"/>
        </w:rPr>
        <w:t>darbas apmokamas</w:t>
      </w:r>
      <w:r>
        <w:rPr>
          <w:bCs/>
          <w:color w:val="000000"/>
          <w:szCs w:val="24"/>
          <w:lang w:eastAsia="zh-CN"/>
        </w:rPr>
        <w:t xml:space="preserve"> </w:t>
      </w:r>
      <w:r>
        <w:rPr>
          <w:szCs w:val="24"/>
        </w:rPr>
        <w:t xml:space="preserve">Lietuvos Respublikos </w:t>
      </w:r>
      <w:r>
        <w:rPr>
          <w:szCs w:val="24"/>
          <w:lang w:eastAsia="lt-LT"/>
        </w:rPr>
        <w:t xml:space="preserve">valstybės ir savivaldybių įstaigų darbuotojų ir komisijų narių darbo apmokėjimo įstatymo nustatyta tvarka. </w:t>
      </w:r>
      <w:r>
        <w:rPr>
          <w:szCs w:val="24"/>
        </w:rPr>
        <w:t xml:space="preserve">Arbitrų kelionės išlaidų dydžius ir apmokėjimo tvarką nustato </w:t>
      </w:r>
      <w:r>
        <w:rPr>
          <w:szCs w:val="24"/>
          <w:lang w:eastAsia="lt-LT"/>
        </w:rPr>
        <w:t>Lietuvos Respublikos socialinės apsaugos ir darbo ministras.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widowControl w:val="0"/>
        <w:suppressAutoHyphens/>
        <w:spacing w:line="360" w:lineRule="auto"/>
        <w:ind w:firstLine="720"/>
        <w:jc w:val="both"/>
        <w:rPr>
          <w:b/>
          <w:szCs w:val="24"/>
          <w:highlight w:val="yellow"/>
          <w:lang w:eastAsia="zh-CN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  <w:r>
        <w:rPr>
          <w:b/>
          <w:bCs/>
          <w:color w:val="000000"/>
          <w:szCs w:val="24"/>
          <w:lang w:eastAsia="lt-LT"/>
        </w:rPr>
        <w:t>ir įgyvendinimas</w:t>
      </w:r>
    </w:p>
    <w:p>
      <w:pPr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>. Šis įstatymas, išskyrus šio straipsnio 2 dalį,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zh-CN"/>
        </w:rPr>
        <w:t>įsigalioja 2019 m. liepos 1 d.</w:t>
      </w:r>
    </w:p>
    <w:p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Lietuvos Respublikos Vyriausybė ir jos įgaliota institucija iki 2019 m. birželio 28 d. priima šio įstatymo įgyvendinamuosius teisės aktus.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1387</Characters>
  <Application>Microsoft Office Word</Application>
  <DocSecurity>4</DocSecurity>
  <Lines>36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1581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2018-12-18T12:43:00Z</dcterms:created>
  <dc:creator>MANIUŠKIENĖ Violeta</dc:creator>
  <lastModifiedBy>adlibuser</lastModifiedBy>
  <lastPrinted>2004-12-10T05:45:00Z</lastPrinted>
  <dcterms:modified xsi:type="dcterms:W3CDTF">2018-12-18T12:43:00Z</dcterms:modified>
  <revision>2</revision>
</coreProperties>
</file>