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8AAC" w14:textId="59727491" w:rsidR="005E4E62" w:rsidRDefault="006065C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8798AEA" wp14:editId="08798AE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8AAD" w14:textId="77777777" w:rsidR="005E4E62" w:rsidRDefault="005E4E62">
      <w:pPr>
        <w:rPr>
          <w:sz w:val="10"/>
          <w:szCs w:val="10"/>
        </w:rPr>
      </w:pPr>
    </w:p>
    <w:p w14:paraId="08798AAE" w14:textId="77777777" w:rsidR="005E4E62" w:rsidRDefault="006065C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8798AAF" w14:textId="77777777" w:rsidR="005E4E62" w:rsidRDefault="005E4E62">
      <w:pPr>
        <w:jc w:val="center"/>
        <w:rPr>
          <w:caps/>
          <w:lang w:eastAsia="lt-LT"/>
        </w:rPr>
      </w:pPr>
    </w:p>
    <w:p w14:paraId="08798AB0" w14:textId="77777777" w:rsidR="005E4E62" w:rsidRDefault="006065C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8798AB1" w14:textId="77777777" w:rsidR="005E4E62" w:rsidRDefault="006065C0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2014 M. RUGSĖJO 17 D. NUTARIMO NR. 954 „DĖL 2014–2020 METŲ EUROPOS SĄJUNGOS FONDŲ INVESTICIJŲ </w:t>
      </w:r>
      <w:r>
        <w:rPr>
          <w:b/>
          <w:caps/>
          <w:lang w:eastAsia="lt-LT"/>
        </w:rPr>
        <w:t>VEIKSMŲ PROGRAMOS STEBĖSENOS KOMITETO SUDARYMO“ PAKEITIMO</w:t>
      </w:r>
    </w:p>
    <w:p w14:paraId="08798AB2" w14:textId="77777777" w:rsidR="005E4E62" w:rsidRDefault="005E4E62">
      <w:pPr>
        <w:tabs>
          <w:tab w:val="center" w:pos="4153"/>
          <w:tab w:val="right" w:pos="8306"/>
        </w:tabs>
        <w:rPr>
          <w:lang w:eastAsia="lt-LT"/>
        </w:rPr>
      </w:pPr>
    </w:p>
    <w:p w14:paraId="08798AB3" w14:textId="627B2E14" w:rsidR="005E4E62" w:rsidRDefault="006065C0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vasario 19 d. </w:t>
      </w:r>
      <w:r>
        <w:rPr>
          <w:lang w:eastAsia="lt-LT"/>
        </w:rPr>
        <w:t>Nr. 145</w:t>
      </w:r>
    </w:p>
    <w:p w14:paraId="08798AB4" w14:textId="77777777" w:rsidR="005E4E62" w:rsidRDefault="006065C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8798AB5" w14:textId="77777777" w:rsidR="005E4E62" w:rsidRDefault="005E4E62">
      <w:pPr>
        <w:jc w:val="center"/>
        <w:rPr>
          <w:lang w:eastAsia="lt-LT"/>
        </w:rPr>
      </w:pPr>
    </w:p>
    <w:p w14:paraId="16EEB9CB" w14:textId="77777777" w:rsidR="006065C0" w:rsidRDefault="006065C0">
      <w:pPr>
        <w:jc w:val="center"/>
        <w:rPr>
          <w:lang w:eastAsia="lt-LT"/>
        </w:rPr>
      </w:pPr>
    </w:p>
    <w:p w14:paraId="08798AB6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8798AB7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2014 m. rugsėjo 17 d. nutarimą Nr. 954 „Dėl 2014–2020 metų Europos Sąjungos fondų investicijų veik</w:t>
      </w:r>
      <w:r>
        <w:rPr>
          <w:szCs w:val="24"/>
          <w:lang w:eastAsia="lt-LT"/>
        </w:rPr>
        <w:t xml:space="preserve">smų programos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komiteto sudarymo“:</w:t>
      </w:r>
    </w:p>
    <w:p w14:paraId="08798AB8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1 punktą ir jį išdėstyti taip:</w:t>
      </w:r>
    </w:p>
    <w:p w14:paraId="08798AB9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Sudaryti šį 2014–2020 metų Europos Sąjungos fondų investicijų veiksmų programos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komitetą (toliau – komitetas):</w:t>
      </w:r>
    </w:p>
    <w:p w14:paraId="08798ABA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finansų </w:t>
      </w:r>
      <w:r>
        <w:rPr>
          <w:szCs w:val="24"/>
          <w:lang w:eastAsia="lt-LT"/>
        </w:rPr>
        <w:t>ministerijos atstovas (komiteto pirmininkas);</w:t>
      </w:r>
    </w:p>
    <w:p w14:paraId="08798ABB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finansų ministerijos atstovas (antrasis komiteto pirmininko pavaduotojas);</w:t>
      </w:r>
    </w:p>
    <w:p w14:paraId="08798ABC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finansų ministerijos du atstovai;</w:t>
      </w:r>
    </w:p>
    <w:p w14:paraId="08798ABD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aplinkos ministerijos atstovas;</w:t>
      </w:r>
    </w:p>
    <w:p w14:paraId="08798ABE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</w:t>
      </w:r>
      <w:r>
        <w:rPr>
          <w:szCs w:val="24"/>
          <w:lang w:eastAsia="lt-LT"/>
        </w:rPr>
        <w:t>os Respublikos energetikos ministerijos atstovas;</w:t>
      </w:r>
    </w:p>
    <w:p w14:paraId="08798ABF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kultūros ministerijos atstovas;</w:t>
      </w:r>
    </w:p>
    <w:p w14:paraId="08798AC0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socialinės apsaugos ir darbo ministerijos atstovas;</w:t>
      </w:r>
    </w:p>
    <w:p w14:paraId="08798AC1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susisiekimo ministerijos atstovas;</w:t>
      </w:r>
    </w:p>
    <w:p w14:paraId="08798AC2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sveikatos apsaugos ministerijos atstovas;</w:t>
      </w:r>
    </w:p>
    <w:p w14:paraId="08798AC3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švietimo, mokslo ir sporto ministerijos atstovas;</w:t>
      </w:r>
    </w:p>
    <w:p w14:paraId="08798AC4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ekonomikos ir inovacijų ministerijos atstovas;</w:t>
      </w:r>
    </w:p>
    <w:p w14:paraId="08798AC5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užsienio reikalų ministerijos atstovas;</w:t>
      </w:r>
    </w:p>
    <w:p w14:paraId="08798AC6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</w:t>
      </w:r>
      <w:r>
        <w:rPr>
          <w:szCs w:val="24"/>
          <w:lang w:eastAsia="lt-LT"/>
        </w:rPr>
        <w:t>blikos vidaus reikalų ministerijos atstovas;</w:t>
      </w:r>
    </w:p>
    <w:p w14:paraId="08798AC7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žemės ūkio ministerijos du atstovai;</w:t>
      </w:r>
    </w:p>
    <w:p w14:paraId="08798AC8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aplinkos ministerijos Aplinkos projektų valdymo agentūros atstovas;</w:t>
      </w:r>
    </w:p>
    <w:p w14:paraId="08798AC9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mokslo tarybos atstovas;</w:t>
      </w:r>
    </w:p>
    <w:p w14:paraId="08798ACA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Mokslo, inovacijų ir technolog</w:t>
      </w:r>
      <w:r>
        <w:rPr>
          <w:szCs w:val="24"/>
          <w:lang w:eastAsia="lt-LT"/>
        </w:rPr>
        <w:t>ijų agentūros atstovas;</w:t>
      </w:r>
    </w:p>
    <w:p w14:paraId="08798ACB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regionų plėtros tarybų atstovas;</w:t>
      </w:r>
    </w:p>
    <w:p w14:paraId="08798ACC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viešosios įstaigos Centrinės projektų valdymo agentūros atstovas;</w:t>
      </w:r>
    </w:p>
    <w:p w14:paraId="08798ACD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viešosios įstaigos Europos socialinio fondo agentūros atstovas;</w:t>
      </w:r>
    </w:p>
    <w:p w14:paraId="08798ACE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viešosios įstaigos Lietuvos verslo paramos agentūros atstovas;</w:t>
      </w:r>
    </w:p>
    <w:p w14:paraId="08798ACF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uždaro</w:t>
      </w:r>
      <w:r>
        <w:rPr>
          <w:szCs w:val="24"/>
          <w:lang w:eastAsia="lt-LT"/>
        </w:rPr>
        <w:t>sios akcinės bendrovės „Investicijų ir verslo garantijos“ atstovas;</w:t>
      </w:r>
    </w:p>
    <w:p w14:paraId="08798AD0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uždarosios akcinės bendrovės Viešųjų investicijų plėtros agentūros atstovas;</w:t>
      </w:r>
    </w:p>
    <w:p w14:paraId="08798AD1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Vyriausybės kanceliarijos atstovas;</w:t>
      </w:r>
    </w:p>
    <w:p w14:paraId="08798AD2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Lygių galimybių kontrolieriaus tarnybos atstovas;</w:t>
      </w:r>
    </w:p>
    <w:p w14:paraId="08798AD3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</w:t>
      </w:r>
      <w:r>
        <w:rPr>
          <w:szCs w:val="24"/>
          <w:lang w:eastAsia="lt-LT"/>
        </w:rPr>
        <w:t>aliųjų reikalų tarybos narys;</w:t>
      </w:r>
    </w:p>
    <w:p w14:paraId="08798AD4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šio nutarimo 4.1 papunktyje nurodytų socialinių ir ekonominių partnerių atstovai.“</w:t>
      </w:r>
    </w:p>
    <w:p w14:paraId="08798AD5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2 punktą ir jį išdėstyti taip:</w:t>
      </w:r>
    </w:p>
    <w:p w14:paraId="08798AD6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Lietuvos Respublikos aplinkos ministerija, Lietuvos Respublikos energetikos </w:t>
      </w:r>
      <w:r>
        <w:rPr>
          <w:szCs w:val="24"/>
          <w:lang w:eastAsia="lt-LT"/>
        </w:rPr>
        <w:t xml:space="preserve">ministerija, Lietuvos Respublikos kultūros ministerija, Lietuvos Respublikos socialinės apsaugos ir darbo ministerija, Lietuvos Respublikos susisiekimo ministerija, Lietuvos Respublikos sveikatos apsaugos ministerija, Lietuvos Respublikos švietimo, mokslo </w:t>
      </w:r>
      <w:r>
        <w:rPr>
          <w:szCs w:val="24"/>
          <w:lang w:eastAsia="lt-LT"/>
        </w:rPr>
        <w:t xml:space="preserve">ir sporto ministerija, Lietuvos Respublikos ekonomikos ir inovacijų ministerija, Lietuvos Respublikos užsienio reikalų ministerija, Lietuvos Respublikos vidaus reikalų ministerija, Lietuvos Respublikos žemės ūkio ministerija, Lietuvos Respublikos aplinkos </w:t>
      </w:r>
      <w:r>
        <w:rPr>
          <w:szCs w:val="24"/>
          <w:lang w:eastAsia="lt-LT"/>
        </w:rPr>
        <w:t>ministerijos Aplinkos projektų valdymo agentūra, Lietuvos mokslo taryba, Mokslo, inovacijų ir technologijų agentūra, regionų plėtros tarybos, viešoji įstaiga Centrinė projektų valdymo agentūra, viešoji įstaiga Europos socialinio fondo agentūra, viešoji įst</w:t>
      </w:r>
      <w:r>
        <w:rPr>
          <w:szCs w:val="24"/>
          <w:lang w:eastAsia="lt-LT"/>
        </w:rPr>
        <w:t>aiga Lietuvos verslo paramos agentūra, uždaroji akcinė bendrovė „Investicijų ir verslo garantijos“, uždaroji akcinė bendrovė Viešųjų investicijų plėtros agentūra, Lietuvos Respublikos Vyriausybės kanceliarija, Lygių galimybių kontrolieriaus tarnyba, Neįgal</w:t>
      </w:r>
      <w:r>
        <w:rPr>
          <w:szCs w:val="24"/>
          <w:lang w:eastAsia="lt-LT"/>
        </w:rPr>
        <w:t>iųjų reikalų taryba turi skirti į komitetą atstovus, nurodytus šio nutarimo 1 punkte, ir po vieną kiekvieno atstovo pakaitinį narį. Regionų plėtros tarybų atstovo pakaitinį narį skiria Regioninės plėtros departamentas prie Vidaus reikalų ministerijos. Šiam</w:t>
      </w:r>
      <w:r>
        <w:rPr>
          <w:szCs w:val="24"/>
          <w:lang w:eastAsia="lt-LT"/>
        </w:rPr>
        <w:t>e punkte nurodytos institucijos apie atstovų ir pakaitinių narių skyrimą informuoja Lietuvos Respublikos finansų ministeriją.“</w:t>
      </w:r>
    </w:p>
    <w:p w14:paraId="08798AD7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4 punktą ir jį išdėstyti taip:</w:t>
      </w:r>
    </w:p>
    <w:p w14:paraId="08798AD8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Laikantis nuostatos, kad komitete turi būti ne daugiau kaip 60 narių, iš</w:t>
      </w:r>
      <w:r>
        <w:rPr>
          <w:szCs w:val="24"/>
          <w:lang w:eastAsia="lt-LT"/>
        </w:rPr>
        <w:t xml:space="preserve"> kurių ne mažiau kaip trečdalis – socialinių ir ekonominių partnerių atstovai, pasiūlyti skirti į komitetą (informuojant Lietuvos Respublikos finansų ministeriją):</w:t>
      </w:r>
    </w:p>
    <w:p w14:paraId="08798AD9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>. Aplinkosaugos koalicijai, asociacijai „Infobalt“, asociacijai „Žinių ekonomikos forum</w:t>
      </w:r>
      <w:r>
        <w:rPr>
          <w:szCs w:val="24"/>
          <w:lang w:eastAsia="lt-LT"/>
        </w:rPr>
        <w:t>as“, asociacijai „Lietuvos moterų lobistinė organizacija“, Kauno technologijos universiteto Aplinkos inžinerijos institutui, Nacionalinei kūrybinių ir kultūrinių industrijų asociacijai, Lietuvos šilumos tiekėjų asociacijai, Lietuvos gydytojų vadovų sąjunga</w:t>
      </w:r>
      <w:r>
        <w:rPr>
          <w:szCs w:val="24"/>
          <w:lang w:eastAsia="lt-LT"/>
        </w:rPr>
        <w:t>i, viešajai įstaigai „Europos namai“, Lietuvos mokslų akademijai, Lietuvos muziejų asociacijai, Lietuvos nevyriausybinių organizacijų vaikams konfederacijai, Lietuvos pramonininkų konfederacijai, Lietuvos prekybos, pramonės ir amatų rūmų asociacijai, Lietu</w:t>
      </w:r>
      <w:r>
        <w:rPr>
          <w:szCs w:val="24"/>
          <w:lang w:eastAsia="lt-LT"/>
        </w:rPr>
        <w:t>vos profesinių sąjungų konfederacijai, Lietuvos Respublikos turizmo rūmams, Lietuvos pacientų organizacijų atstovų tarybai, Lietuvos savivaldybių asociacijai, Lietuvos smulkiojo ir vidutinio verslo tarybai, Lietuvos universitetų rektorių konferencijai, Lie</w:t>
      </w:r>
      <w:r>
        <w:rPr>
          <w:szCs w:val="24"/>
          <w:lang w:eastAsia="lt-LT"/>
        </w:rPr>
        <w:t xml:space="preserve">tuvos verslo </w:t>
      </w:r>
      <w:r>
        <w:rPr>
          <w:szCs w:val="24"/>
          <w:lang w:eastAsia="lt-LT"/>
        </w:rPr>
        <w:lastRenderedPageBreak/>
        <w:t>darbdavių konfederacijai, Lietuvos verslo konfederacijai, Lietuvos visuomenės sveikatos asociacijai, Nacionaliniam skurdo mažinimo organizacijų tinklui, Respublikiniams būsto valdymo ir priežiūros rūmams, viešosios įstaigos „</w:t>
      </w:r>
      <w:proofErr w:type="spellStart"/>
      <w:r>
        <w:rPr>
          <w:szCs w:val="24"/>
          <w:lang w:eastAsia="lt-LT"/>
        </w:rPr>
        <w:t>Transparency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Inter</w:t>
      </w:r>
      <w:r>
        <w:rPr>
          <w:szCs w:val="24"/>
          <w:lang w:eastAsia="lt-LT"/>
        </w:rPr>
        <w:t>national</w:t>
      </w:r>
      <w:proofErr w:type="spellEnd"/>
      <w:r>
        <w:rPr>
          <w:szCs w:val="24"/>
          <w:lang w:eastAsia="lt-LT"/>
        </w:rPr>
        <w:t>“ Lietuvos skyriui – po vieną atstovą ir atstovo pakaitinį narį;</w:t>
      </w:r>
    </w:p>
    <w:p w14:paraId="08798ADA" w14:textId="77777777" w:rsidR="005E4E62" w:rsidRDefault="006065C0">
      <w:pPr>
        <w:widowControl w:val="0"/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 xml:space="preserve">. Europos Komisijos Regioninės ir miestų politikos generaliniam direktoratui, Europos Komisijos Užimtumo, socialinių reikalų ir </w:t>
      </w:r>
      <w:proofErr w:type="spellStart"/>
      <w:r>
        <w:rPr>
          <w:szCs w:val="24"/>
          <w:lang w:eastAsia="lt-LT"/>
        </w:rPr>
        <w:t>įtraukties</w:t>
      </w:r>
      <w:proofErr w:type="spellEnd"/>
      <w:r>
        <w:rPr>
          <w:szCs w:val="24"/>
          <w:lang w:eastAsia="lt-LT"/>
        </w:rPr>
        <w:t xml:space="preserve"> generaliniam direktoratui, Europos in</w:t>
      </w:r>
      <w:r>
        <w:rPr>
          <w:szCs w:val="24"/>
          <w:lang w:eastAsia="lt-LT"/>
        </w:rPr>
        <w:t>vesticijų bankui – po vieną atstovą dalyvauti komiteto veikloje patarėjų teisėmis;</w:t>
      </w:r>
    </w:p>
    <w:p w14:paraId="08798ADB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>. Lietuvos Respublikos valstybės kontrolei – atstovą ir atstovo pakaitinį narį dalyvauti komiteto veikloje stebėtojo teisėmis.“</w:t>
      </w:r>
    </w:p>
    <w:p w14:paraId="08798ADC" w14:textId="77777777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Pakeisti 6 punktą ir jį i</w:t>
      </w:r>
      <w:r>
        <w:rPr>
          <w:szCs w:val="24"/>
          <w:lang w:eastAsia="lt-LT"/>
        </w:rPr>
        <w:t>šdėstyti taip:</w:t>
      </w:r>
    </w:p>
    <w:bookmarkStart w:id="0" w:name="_GoBack" w:displacedByCustomXml="prev"/>
    <w:p w14:paraId="08798ADD" w14:textId="1613AD0B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Pavesti:</w:t>
      </w:r>
    </w:p>
    <w:p w14:paraId="08798ADE" w14:textId="2112141A" w:rsidR="005E4E62" w:rsidRDefault="006065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6.1. Lietuvos Respublikos finansų ministerijai – atlikti komiteto sekretoriato funkcijas, teikti komitetui informaciją, kurios reikia jo funkcijoms atlikti, ir Europos Sąjungos struktūrinių fondų interneto svetainėje </w:t>
      </w:r>
      <w:proofErr w:type="spellStart"/>
      <w:r>
        <w:rPr>
          <w:szCs w:val="24"/>
          <w:lang w:eastAsia="lt-LT"/>
        </w:rPr>
        <w:t>www.esin</w:t>
      </w:r>
      <w:r>
        <w:rPr>
          <w:szCs w:val="24"/>
          <w:lang w:eastAsia="lt-LT"/>
        </w:rPr>
        <w:t>vesticijos.lt</w:t>
      </w:r>
      <w:proofErr w:type="spellEnd"/>
      <w:r>
        <w:rPr>
          <w:szCs w:val="24"/>
          <w:lang w:eastAsia="lt-LT"/>
        </w:rPr>
        <w:t xml:space="preserve"> skelbti personalinę komiteto sudėtį;</w:t>
      </w:r>
    </w:p>
    <w:p w14:paraId="08798AE2" w14:textId="301EE422" w:rsidR="005E4E62" w:rsidRDefault="006065C0" w:rsidP="006065C0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komitetui – tvirtinti komiteto darbo reglamentą.“</w:t>
      </w:r>
    </w:p>
    <w:bookmarkEnd w:id="0" w:displacedByCustomXml="next"/>
    <w:p w14:paraId="22006175" w14:textId="77777777" w:rsidR="006065C0" w:rsidRDefault="006065C0">
      <w:pPr>
        <w:tabs>
          <w:tab w:val="center" w:pos="-7800"/>
          <w:tab w:val="center" w:pos="4153"/>
          <w:tab w:val="left" w:pos="6237"/>
          <w:tab w:val="right" w:pos="8306"/>
        </w:tabs>
      </w:pPr>
    </w:p>
    <w:p w14:paraId="4B857F18" w14:textId="77777777" w:rsidR="006065C0" w:rsidRDefault="006065C0">
      <w:pPr>
        <w:tabs>
          <w:tab w:val="center" w:pos="-7800"/>
          <w:tab w:val="center" w:pos="4153"/>
          <w:tab w:val="left" w:pos="6237"/>
          <w:tab w:val="right" w:pos="8306"/>
        </w:tabs>
      </w:pPr>
    </w:p>
    <w:p w14:paraId="5B69AA63" w14:textId="77777777" w:rsidR="006065C0" w:rsidRDefault="006065C0">
      <w:pPr>
        <w:tabs>
          <w:tab w:val="center" w:pos="-7800"/>
          <w:tab w:val="center" w:pos="4153"/>
          <w:tab w:val="left" w:pos="6237"/>
          <w:tab w:val="right" w:pos="8306"/>
        </w:tabs>
      </w:pPr>
    </w:p>
    <w:p w14:paraId="08798AE3" w14:textId="03A77D7B" w:rsidR="005E4E62" w:rsidRDefault="006065C0">
      <w:pPr>
        <w:tabs>
          <w:tab w:val="center" w:pos="-7800"/>
          <w:tab w:val="center" w:pos="4153"/>
          <w:tab w:val="left" w:pos="6237"/>
          <w:tab w:val="right" w:pos="8306"/>
        </w:tabs>
        <w:rPr>
          <w:lang w:val="en-US" w:eastAsia="lt-LT"/>
        </w:rPr>
      </w:pPr>
      <w:r>
        <w:rPr>
          <w:lang w:eastAsia="lt-LT"/>
        </w:rPr>
        <w:t>Ministrą Pirmininką pavaduojantis</w:t>
      </w:r>
    </w:p>
    <w:p w14:paraId="08798AE4" w14:textId="77777777" w:rsidR="005E4E62" w:rsidRDefault="006065C0">
      <w:pPr>
        <w:tabs>
          <w:tab w:val="center" w:pos="-7800"/>
          <w:tab w:val="center" w:pos="4153"/>
          <w:tab w:val="left" w:pos="6237"/>
          <w:tab w:val="right" w:pos="8306"/>
        </w:tabs>
        <w:rPr>
          <w:lang w:val="en-US" w:eastAsia="lt-LT"/>
        </w:rPr>
      </w:pPr>
      <w:r>
        <w:rPr>
          <w:lang w:eastAsia="lt-LT"/>
        </w:rPr>
        <w:t>energetikos ministras, laikinai einantis</w:t>
      </w:r>
    </w:p>
    <w:p w14:paraId="08798AE5" w14:textId="35C6CE5A" w:rsidR="005E4E62" w:rsidRPr="006065C0" w:rsidRDefault="006065C0" w:rsidP="006065C0">
      <w:pPr>
        <w:tabs>
          <w:tab w:val="center" w:pos="-7800"/>
          <w:tab w:val="center" w:pos="4153"/>
          <w:tab w:val="left" w:pos="6804"/>
          <w:tab w:val="right" w:pos="9072"/>
        </w:tabs>
        <w:rPr>
          <w:lang w:eastAsia="lt-LT"/>
        </w:rPr>
      </w:pPr>
      <w:r>
        <w:rPr>
          <w:lang w:eastAsia="lt-LT"/>
        </w:rPr>
        <w:t>ekonomikos ir inovacijų ministro pareigas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>Žygimantas Vaičiūnas</w:t>
      </w:r>
    </w:p>
    <w:p w14:paraId="08798AE6" w14:textId="77777777" w:rsidR="005E4E62" w:rsidRDefault="005E4E6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798AE7" w14:textId="77777777" w:rsidR="005E4E62" w:rsidRDefault="005E4E6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798AE8" w14:textId="77777777" w:rsidR="005E4E62" w:rsidRDefault="005E4E6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798AE9" w14:textId="1759CBAE" w:rsidR="005E4E62" w:rsidRDefault="006065C0" w:rsidP="006065C0">
      <w:pPr>
        <w:tabs>
          <w:tab w:val="center" w:pos="-7800"/>
          <w:tab w:val="left" w:pos="1701"/>
          <w:tab w:val="right" w:pos="9072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>Vilius Šapoka</w:t>
      </w:r>
    </w:p>
    <w:sectPr w:rsidR="005E4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98AEE" w14:textId="77777777" w:rsidR="005E4E62" w:rsidRDefault="006065C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8798AEF" w14:textId="77777777" w:rsidR="005E4E62" w:rsidRDefault="006065C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4" w14:textId="77777777" w:rsidR="005E4E62" w:rsidRDefault="005E4E6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5" w14:textId="77777777" w:rsidR="005E4E62" w:rsidRDefault="005E4E6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7" w14:textId="77777777" w:rsidR="005E4E62" w:rsidRDefault="005E4E6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8AEC" w14:textId="77777777" w:rsidR="005E4E62" w:rsidRDefault="006065C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8798AED" w14:textId="77777777" w:rsidR="005E4E62" w:rsidRDefault="006065C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0" w14:textId="77777777" w:rsidR="005E4E62" w:rsidRDefault="006065C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8798AF1" w14:textId="77777777" w:rsidR="005E4E62" w:rsidRDefault="005E4E6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2" w14:textId="77777777" w:rsidR="005E4E62" w:rsidRDefault="006065C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08798AF3" w14:textId="77777777" w:rsidR="005E4E62" w:rsidRDefault="005E4E6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8AF6" w14:textId="77777777" w:rsidR="005E4E62" w:rsidRDefault="005E4E6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1"/>
    <w:rsid w:val="005E4E62"/>
    <w:rsid w:val="006065C0"/>
    <w:rsid w:val="00C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79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65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9"/>
    <w:rsid w:val="003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5B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5B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5665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6358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2020-02-24T06:46:00Z</dcterms:created>
  <dc:creator>Nora Martinkėnienė</dc:creator>
  <lastModifiedBy>ŠAULYTĖ SKAIRIENĖ Dalia</lastModifiedBy>
  <lastPrinted>2017-06-01T05:28:00Z</lastPrinted>
  <dcterms:modified xsi:type="dcterms:W3CDTF">2020-02-24T07:15:00Z</dcterms:modified>
  <revision>3</revision>
</coreProperties>
</file>