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3cc5d5cb4aa34adf81c250897043dcc3"/>
        <w:id w:val="651644664"/>
        <w:lock w:val="sdtLocked"/>
      </w:sdtPr>
      <w:sdtEndPr/>
      <w:sdtContent>
        <w:p w:rsidR="005D0F64" w:rsidRDefault="005D0F64">
          <w:pPr>
            <w:jc w:val="center"/>
            <w:rPr>
              <w:lang w:eastAsia="lt-LT"/>
            </w:rPr>
          </w:pPr>
        </w:p>
        <w:p w:rsidR="005D0F64" w:rsidRDefault="005D0F64">
          <w:pPr>
            <w:jc w:val="center"/>
            <w:rPr>
              <w:lang w:eastAsia="lt-LT"/>
            </w:rPr>
          </w:pPr>
        </w:p>
        <w:p w:rsidR="005D0F64" w:rsidRDefault="002E0200">
          <w:pPr>
            <w:jc w:val="center"/>
            <w:rPr>
              <w:lang w:eastAsia="lt-LT"/>
            </w:rPr>
          </w:pPr>
          <w:r>
            <w:rPr>
              <w:rFonts w:ascii="Arial" w:hAnsi="Arial" w:cs="Arial"/>
              <w:noProof/>
              <w:lang w:eastAsia="lt-LT"/>
            </w:rPr>
            <w:drawing>
              <wp:inline distT="0" distB="0" distL="0" distR="0" wp14:anchorId="711ECC49" wp14:editId="458FFDBC">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5D0F64" w:rsidRDefault="005D0F64">
          <w:pPr>
            <w:rPr>
              <w:sz w:val="10"/>
              <w:szCs w:val="10"/>
            </w:rPr>
          </w:pPr>
        </w:p>
        <w:p w:rsidR="005D0F64" w:rsidRDefault="002E0200">
          <w:pPr>
            <w:keepNext/>
            <w:jc w:val="center"/>
            <w:rPr>
              <w:rFonts w:ascii="Arial" w:hAnsi="Arial" w:cs="Arial"/>
              <w:caps/>
              <w:sz w:val="36"/>
              <w:lang w:eastAsia="lt-LT"/>
            </w:rPr>
          </w:pPr>
          <w:r>
            <w:rPr>
              <w:rFonts w:ascii="Arial" w:hAnsi="Arial" w:cs="Arial"/>
              <w:caps/>
              <w:sz w:val="36"/>
              <w:lang w:eastAsia="lt-LT"/>
            </w:rPr>
            <w:t>Lietuvos Respublikos Vyriausybė</w:t>
          </w:r>
        </w:p>
        <w:p w:rsidR="005D0F64" w:rsidRDefault="005D0F64">
          <w:pPr>
            <w:jc w:val="center"/>
            <w:rPr>
              <w:caps/>
              <w:lang w:eastAsia="lt-LT"/>
            </w:rPr>
          </w:pPr>
        </w:p>
        <w:p w:rsidR="005D0F64" w:rsidRDefault="002E0200">
          <w:pPr>
            <w:jc w:val="center"/>
            <w:rPr>
              <w:b/>
              <w:caps/>
              <w:lang w:eastAsia="lt-LT"/>
            </w:rPr>
          </w:pPr>
          <w:r>
            <w:rPr>
              <w:b/>
              <w:caps/>
              <w:lang w:eastAsia="lt-LT"/>
            </w:rPr>
            <w:t>nutarimas</w:t>
          </w:r>
        </w:p>
        <w:p w:rsidR="005D0F64" w:rsidRDefault="002E0200">
          <w:pPr>
            <w:jc w:val="center"/>
            <w:rPr>
              <w:b/>
              <w:bCs/>
              <w:lang w:eastAsia="lt-LT"/>
            </w:rPr>
          </w:pPr>
          <w:r>
            <w:rPr>
              <w:b/>
              <w:bCs/>
              <w:lang w:eastAsia="lt-LT"/>
            </w:rPr>
            <w:t xml:space="preserve">DĖL LIETUVOS RESPUBLIKOS ELEKTROS ENERGETIKOS ĮSTATYMO  NR. VIII-1881 69 STRAIPSNIO PAKEITIMO ĮSTATYMO PROJEKTO NR. XVP-169(2) IR LIETUVOS RESPUBLIKOS GAMTINIŲ DUJŲ ĮSTATYMO NR. VIII-1973 2 STRAIPSNIO PAKEITIMO ĮSTATYMO </w:t>
          </w:r>
          <w:r>
            <w:rPr>
              <w:b/>
              <w:bCs/>
              <w:lang w:eastAsia="lt-LT"/>
            </w:rPr>
            <w:t>PROJEKTO NR. XVP-170(2)</w:t>
          </w:r>
        </w:p>
        <w:p w:rsidR="005D0F64" w:rsidRDefault="005D0F64">
          <w:pPr>
            <w:jc w:val="center"/>
            <w:rPr>
              <w:szCs w:val="24"/>
              <w:lang w:eastAsia="lt-LT"/>
            </w:rPr>
          </w:pPr>
        </w:p>
        <w:p w:rsidR="005D0F64" w:rsidRDefault="002E0200">
          <w:pPr>
            <w:jc w:val="center"/>
            <w:rPr>
              <w:szCs w:val="24"/>
              <w:lang w:eastAsia="lt-LT"/>
            </w:rPr>
          </w:pPr>
          <w:r>
            <w:rPr>
              <w:szCs w:val="24"/>
              <w:lang w:eastAsia="lt-LT"/>
            </w:rPr>
            <w:t xml:space="preserve">2025 m. rugsėjo 17 d. </w:t>
          </w:r>
          <w:r>
            <w:rPr>
              <w:szCs w:val="24"/>
              <w:lang w:eastAsia="lt-LT"/>
            </w:rPr>
            <w:t>Nr. 656</w:t>
          </w:r>
        </w:p>
        <w:p w:rsidR="005D0F64" w:rsidRDefault="002E0200">
          <w:pPr>
            <w:jc w:val="center"/>
            <w:rPr>
              <w:szCs w:val="24"/>
              <w:lang w:eastAsia="lt-LT"/>
            </w:rPr>
          </w:pPr>
          <w:r>
            <w:rPr>
              <w:szCs w:val="24"/>
              <w:lang w:eastAsia="lt-LT"/>
            </w:rPr>
            <w:t>Vilni</w:t>
          </w:r>
          <w:r>
            <w:rPr>
              <w:szCs w:val="24"/>
              <w:lang w:eastAsia="lt-LT"/>
            </w:rPr>
            <w:t>us</w:t>
          </w:r>
        </w:p>
        <w:p w:rsidR="005D0F64" w:rsidRDefault="005D0F64">
          <w:pPr>
            <w:widowControl w:val="0"/>
            <w:tabs>
              <w:tab w:val="right" w:pos="9071"/>
            </w:tabs>
            <w:suppressAutoHyphens/>
            <w:spacing w:line="276" w:lineRule="auto"/>
            <w:jc w:val="both"/>
            <w:rPr>
              <w:highlight w:val="yellow"/>
              <w:lang w:eastAsia="lt-LT"/>
            </w:rPr>
          </w:pPr>
        </w:p>
        <w:p w:rsidR="002E0200" w:rsidRDefault="002E0200">
          <w:pPr>
            <w:widowControl w:val="0"/>
            <w:tabs>
              <w:tab w:val="right" w:pos="9071"/>
            </w:tabs>
            <w:suppressAutoHyphens/>
            <w:spacing w:line="276" w:lineRule="auto"/>
            <w:jc w:val="both"/>
            <w:rPr>
              <w:highlight w:val="yellow"/>
              <w:lang w:eastAsia="lt-LT"/>
            </w:rPr>
          </w:pPr>
        </w:p>
        <w:sdt>
          <w:sdtPr>
            <w:alias w:val="preambule"/>
            <w:tag w:val="part_53160c8411d543b987dadaaf9fff47f7"/>
            <w:id w:val="1675602490"/>
            <w:lock w:val="sdtLocked"/>
          </w:sdtPr>
          <w:sdtEndPr/>
          <w:sdtContent>
            <w:p w:rsidR="005D0F64" w:rsidRDefault="002E0200">
              <w:pPr>
                <w:ind w:firstLine="720"/>
                <w:jc w:val="both"/>
                <w:rPr>
                  <w:lang w:eastAsia="lt-LT"/>
                </w:rPr>
              </w:pPr>
              <w:r>
                <w:t xml:space="preserve">Vadovaudamasi Lietuvos Respublikos Seimo statuto 138 straipsniu ir atsižvelgdama į Lietuvos Respublikos Seimo 2025 m. balandžio 17 d. vakarinio posėdžio metu priimtą sprendimą (protokolas Nr. SPP-36), Lietuvos Respublikos Vyriausybė </w:t>
              </w:r>
              <w:r>
                <w:rPr>
                  <w:color w:val="000000"/>
                </w:rPr>
                <w:t>n u t a r i a</w:t>
              </w:r>
              <w:r>
                <w:rPr>
                  <w:lang w:eastAsia="lt-LT"/>
                </w:rPr>
                <w:t>:</w:t>
              </w:r>
            </w:p>
          </w:sdtContent>
        </w:sdt>
        <w:sdt>
          <w:sdtPr>
            <w:alias w:val="1 p."/>
            <w:tag w:val="part_c11c5aa45b5e496786076ffab86386a1"/>
            <w:id w:val="1230266168"/>
            <w:lock w:val="sdtLocked"/>
          </w:sdtPr>
          <w:sdtEndPr/>
          <w:sdtContent>
            <w:p w:rsidR="005D0F64" w:rsidRDefault="002E0200">
              <w:pPr>
                <w:ind w:firstLine="709"/>
                <w:jc w:val="both"/>
                <w:rPr>
                  <w:lang w:val="en-US"/>
                </w:rPr>
              </w:pPr>
              <w:sdt>
                <w:sdtPr>
                  <w:alias w:val="Numeris"/>
                  <w:tag w:val="nr_c11c5aa45b5e496786076ffab86386a1"/>
                  <w:id w:val="-523250158"/>
                  <w:lock w:val="sdtLocked"/>
                </w:sdtPr>
                <w:sdtEndPr/>
                <w:sdtContent>
                  <w:r>
                    <w:t>1</w:t>
                  </w:r>
                </w:sdtContent>
              </w:sdt>
              <w:r>
                <w:t>. Nepritarti Lietuvos Respublikos elektros energetikos įstatymo Nr. VIII-1881 69 straipsnio pakeitimo įstatymo projektui Nr. XVP-169(2) (toliau ‒ Elektros energetikos įstatymo pakeitimo projektas) dėl šių priežasčių:</w:t>
              </w:r>
            </w:p>
            <w:sdt>
              <w:sdtPr>
                <w:alias w:val="1.1 pp."/>
                <w:tag w:val="part_5d783b22100c4e7b8bde0fdac4ee80df"/>
                <w:id w:val="67545405"/>
                <w:lock w:val="sdtLocked"/>
              </w:sdtPr>
              <w:sdtEndPr/>
              <w:sdtContent>
                <w:p w:rsidR="005D0F64" w:rsidRDefault="002E0200">
                  <w:pPr>
                    <w:ind w:firstLine="709"/>
                    <w:jc w:val="both"/>
                  </w:pPr>
                  <w:sdt>
                    <w:sdtPr>
                      <w:alias w:val="Numeris"/>
                      <w:tag w:val="nr_5d783b22100c4e7b8bde0fdac4ee80df"/>
                      <w:id w:val="-385721049"/>
                      <w:lock w:val="sdtLocked"/>
                    </w:sdtPr>
                    <w:sdtEndPr/>
                    <w:sdtContent>
                      <w:r>
                        <w:t>1.1</w:t>
                      </w:r>
                    </w:sdtContent>
                  </w:sdt>
                  <w:r>
                    <w:t>. Buitinio elektros energijos var</w:t>
                  </w:r>
                  <w:r>
                    <w:t xml:space="preserve">totojo sampratos išplėtimas Lietuvos Respublikos elektros energetikos įstatymo 69 straipsnio 15 dalyje, numatant, kad </w:t>
                  </w:r>
                  <w:r>
                    <w:rPr>
                      <w:color w:val="000000"/>
                    </w:rPr>
                    <w:t>tradicinėms ir valstybės pripažintoms</w:t>
                  </w:r>
                  <w:r>
                    <w:t xml:space="preserve"> religinėms bendruomenėms ir bendrijoms, perkančioms elektros energiją bendroms religinės paskirties </w:t>
                  </w:r>
                  <w:r>
                    <w:t xml:space="preserve">objektų eksploatavimo reikmėms, jų </w:t>
                  </w:r>
                  <w:r>
                    <w:rPr>
                      <w:color w:val="000000"/>
                    </w:rPr>
                    <w:t>prašymu taikomos tokios pačios elektros energijos kainos ir tarifai, kaip ir buitiniams elektros energijos vartotojams</w:t>
                  </w:r>
                  <w:r>
                    <w:t>, prieštarauja Elektros energetikos įstatymo 2 straipsnio 5 dalies sąvokos „buitinis elektros energijos</w:t>
                  </w:r>
                  <w:r>
                    <w:t xml:space="preserve"> vartotojas“ apibrėžčiai, kuria buvo perkelta 2019 m. birželio 5 d. Europos Parlamento ir Tarybos direktyvos </w:t>
                  </w:r>
                  <w:hyperlink r:id="rId10" w:tgtFrame="_blank" w:history="1">
                    <w:r>
                      <w:rPr>
                        <w:color w:val="0000FF" w:themeColor="hyperlink"/>
                        <w:u w:val="single"/>
                      </w:rPr>
                      <w:t>(ES) 2019/944</w:t>
                    </w:r>
                  </w:hyperlink>
                  <w:r>
                    <w:t xml:space="preserve"> dėl elektros energijos vidaus rinkos bendrųjų taisyklių, kuria iš dalies keičiama Direktyva </w:t>
                  </w:r>
                  <w:hyperlink r:id="rId11" w:tgtFrame="_blank" w:history="1">
                    <w:r>
                      <w:rPr>
                        <w:color w:val="0000FF" w:themeColor="hyperlink"/>
                        <w:u w:val="single"/>
                      </w:rPr>
                      <w:t>2012/27/ES</w:t>
                    </w:r>
                  </w:hyperlink>
                  <w:r>
                    <w:t xml:space="preserve"> 2 straipsnio 4 dalies sąvoka „namų ūkio vartotojas“</w:t>
                  </w:r>
                  <w:r>
                    <w:t>. Elektros energetikos įstatymo 2 straipsnio 5 dalyje nustatyti b</w:t>
                  </w:r>
                  <w:r>
                    <w:rPr>
                      <w:color w:val="000000"/>
                    </w:rPr>
                    <w:t>uitinio elektros energijos vartotojo požymiai – tai yra toks elektros energijos vartotojas, kuris yra fizinis asmuo ir kuris perka elektros energiją asmeniniams, šeimos ar namų ūkio poreikiam</w:t>
                  </w:r>
                  <w:r>
                    <w:rPr>
                      <w:color w:val="000000"/>
                    </w:rPr>
                    <w:t>s, nesusijusiems su ūkine veikla.</w:t>
                  </w:r>
                </w:p>
              </w:sdtContent>
            </w:sdt>
            <w:sdt>
              <w:sdtPr>
                <w:alias w:val="1.2 pp."/>
                <w:tag w:val="part_a785715218d34acdaee8fb8d73649830"/>
                <w:id w:val="1544552330"/>
                <w:lock w:val="sdtLocked"/>
              </w:sdtPr>
              <w:sdtEndPr/>
              <w:sdtContent>
                <w:p w:rsidR="005D0F64" w:rsidRDefault="002E0200">
                  <w:pPr>
                    <w:ind w:firstLine="709"/>
                    <w:jc w:val="both"/>
                  </w:pPr>
                  <w:sdt>
                    <w:sdtPr>
                      <w:alias w:val="Numeris"/>
                      <w:tag w:val="nr_a785715218d34acdaee8fb8d73649830"/>
                      <w:id w:val="-201630656"/>
                      <w:lock w:val="sdtLocked"/>
                    </w:sdtPr>
                    <w:sdtEndPr/>
                    <w:sdtContent>
                      <w:r>
                        <w:t>1.2</w:t>
                      </w:r>
                    </w:sdtContent>
                  </w:sdt>
                  <w:r>
                    <w:t>. Nesutampa religinių bendruomenių ir bendrijų ir buitinių elektros energijos vartotojų asmens formos. Vadovaujantis Lietuvos Respublikos religinių bendruomenių ir bendrijų įstatymo 10 ir 11 straipsniais, tradicinės</w:t>
                  </w:r>
                  <w:r>
                    <w:t xml:space="preserve"> religinės bendruomenės ir bendrijos yra juridiniai asmenys. Dėl šios priežasties tradicinės ir valstybės pripažintos religinės bendruomenės ir bendrijos negali būti tapatinamos su fiziniais asmenimis, t. y. buitiniais elektros energijos vartotojais. Elekt</w:t>
                  </w:r>
                  <w:r>
                    <w:t>ros energetikos įstatymo pakeitimo projektu siūlomas reguliavimas neatitinka Lietuvos Respublikos teisėkūros pagrindų įstatymo 3 straipsnio 2 dalies 7 punkte įtvirtinto teisėkūros sistemiškumo principo, nes tarp Elektros energetikos įstatymo pakeitimo proj</w:t>
                  </w:r>
                  <w:r>
                    <w:t>ekto 1 straipsnio ir Religinių bendruomenių ir bendrijų įstatymo 10 ir 11 straipsnių ir Elektros energetikos įstatymo 2 straipsnio 5 dalies nuostatų atsiranda kolizijos.</w:t>
                  </w:r>
                </w:p>
              </w:sdtContent>
            </w:sdt>
            <w:sdt>
              <w:sdtPr>
                <w:alias w:val="1.3 pp."/>
                <w:tag w:val="part_68a8e9da794c4a129e6bbfefc1ad373f"/>
                <w:id w:val="-575198107"/>
                <w:lock w:val="sdtLocked"/>
              </w:sdtPr>
              <w:sdtEndPr/>
              <w:sdtContent>
                <w:p w:rsidR="005D0F64" w:rsidRDefault="002E0200">
                  <w:pPr>
                    <w:ind w:firstLine="709"/>
                    <w:jc w:val="both"/>
                  </w:pPr>
                  <w:sdt>
                    <w:sdtPr>
                      <w:alias w:val="Numeris"/>
                      <w:tag w:val="nr_68a8e9da794c4a129e6bbfefc1ad373f"/>
                      <w:id w:val="-1119984072"/>
                      <w:lock w:val="sdtLocked"/>
                    </w:sdtPr>
                    <w:sdtEndPr/>
                    <w:sdtContent>
                      <w:r>
                        <w:t>1.3</w:t>
                      </w:r>
                    </w:sdtContent>
                  </w:sdt>
                  <w:r>
                    <w:t>. Nesutampa religinių bendruomenių ir bendrijų ir buitinių elektros energijos v</w:t>
                  </w:r>
                  <w:r>
                    <w:t>artotojų vykdomų veiklų pobūdis. Vadovaudamosi Religinių bendruomenių ir bendrijų įstatymo 13‒15 straipsnių nuostatomis, religinės bendruomenės ir bendrijos turi teisę užsiimti ūkine veikla, tai yra leidybos, gamybine–ūkine veikla, steigti visuomenės infor</w:t>
                  </w:r>
                  <w:r>
                    <w:t xml:space="preserve">mavimo priemones, taip pat steigti labdaros įstaigas ir organizacijas, švietimo, kultūros ir gydymo </w:t>
                  </w:r>
                  <w:r>
                    <w:lastRenderedPageBreak/>
                    <w:t xml:space="preserve">įstaigas, valdyti, naudoti joms priklausantį turtą ir juo disponuoti. Buitiniams elektros energijos vartotojams fiziniai asmenys priskiriami pagal Elektros </w:t>
                  </w:r>
                  <w:r>
                    <w:t xml:space="preserve">energetikos įstatymo 2 straipsnio 5 dalį. Elektros energetikos įstatymo pakeitimo projekto nuostatų taikymas, kai religinėms bendruomenėms ir bendrijoms jų prašymu bus taikomos buitiniams elektros energijos vartotojams nustatytos elektros energijos kainos </w:t>
                  </w:r>
                  <w:r>
                    <w:t xml:space="preserve">ir tarifai net ir už vykdomą veiklą, kuri iš esmės yra komercinė, pvz., leidyba, visuomenės informavimo priemonių veikla, gydymo įstaigų veikla, nenumatant aiškių ribojimų ar kriterijų dėl religinių bendruomenių ir bendrijų religinės veiklos atskyrimo nuo </w:t>
                  </w:r>
                  <w:r>
                    <w:t xml:space="preserve">ūkinės ar komercinės veiklos, paneigia esminį buitinio elektros vartotojo požymį dėl namų ūkio reikmių, kurioms tenkinti toks vartotojas perka elektros energiją. </w:t>
                  </w:r>
                </w:p>
              </w:sdtContent>
            </w:sdt>
            <w:sdt>
              <w:sdtPr>
                <w:alias w:val="1.4 pp."/>
                <w:tag w:val="part_911683f28eae4ba89b00f021e585f472"/>
                <w:id w:val="-1893720239"/>
                <w:lock w:val="sdtLocked"/>
              </w:sdtPr>
              <w:sdtEndPr/>
              <w:sdtContent>
                <w:p w:rsidR="005D0F64" w:rsidRDefault="002E0200">
                  <w:pPr>
                    <w:ind w:firstLine="709"/>
                    <w:jc w:val="both"/>
                    <w:rPr>
                      <w:rFonts w:eastAsia="Yu Gothic Light" w:cs="Tahoma"/>
                      <w:szCs w:val="24"/>
                      <w:highlight w:val="yellow"/>
                      <w:lang w:bidi="en-US"/>
                    </w:rPr>
                  </w:pPr>
                  <w:sdt>
                    <w:sdtPr>
                      <w:alias w:val="Numeris"/>
                      <w:tag w:val="nr_911683f28eae4ba89b00f021e585f472"/>
                      <w:id w:val="1848365640"/>
                      <w:lock w:val="sdtLocked"/>
                    </w:sdtPr>
                    <w:sdtEndPr/>
                    <w:sdtContent>
                      <w:r>
                        <w:rPr>
                          <w:rFonts w:eastAsia="Andale Sans UI" w:cs="Tahoma"/>
                          <w:szCs w:val="24"/>
                          <w:lang w:val="en-US" w:bidi="en-US"/>
                        </w:rPr>
                        <w:t>1.4</w:t>
                      </w:r>
                    </w:sdtContent>
                  </w:sdt>
                  <w:r>
                    <w:rPr>
                      <w:rFonts w:eastAsia="Andale Sans UI" w:cs="Tahoma"/>
                      <w:szCs w:val="24"/>
                      <w:lang w:bidi="en-US"/>
                    </w:rPr>
                    <w:t>. Elektros energetikos įstatymo pakeitimo projekto 1 straipsnyje siūloma Elektros ener</w:t>
                  </w:r>
                  <w:r>
                    <w:rPr>
                      <w:rFonts w:eastAsia="Andale Sans UI" w:cs="Tahoma"/>
                      <w:szCs w:val="24"/>
                      <w:lang w:bidi="en-US"/>
                    </w:rPr>
                    <w:t>getikos įstatymo 69 straipsnio 15 dalies formuluotė numato neapibrėžtą  nuostatos taikymą, kadangi trūksta aiškumo, kas priskirtina religinės paskirties objektams ir šių objektų bendroms eksploatavimo reikmėms. Atsižvelgiant į tai, Elektros energetikos įst</w:t>
                  </w:r>
                  <w:r>
                    <w:rPr>
                      <w:rFonts w:eastAsia="Andale Sans UI" w:cs="Tahoma"/>
                      <w:szCs w:val="24"/>
                      <w:lang w:bidi="en-US"/>
                    </w:rPr>
                    <w:t>atymo pakeitimo projekte siūlomos nuostatos neatitinka Teisėkūros pagrindų įstatymo 3 straipsnio 2 dalies 6 punkte įtvirtinto teisėkūros aiškumo principo. Vadovaujantis Lietuvos Respublikos statybos įstatymo 2 straipsnio 110 dalyje nustatyta viešojo pastat</w:t>
                  </w:r>
                  <w:r>
                    <w:rPr>
                      <w:rFonts w:eastAsia="Andale Sans UI" w:cs="Tahoma"/>
                      <w:szCs w:val="24"/>
                      <w:lang w:bidi="en-US"/>
                    </w:rPr>
                    <w:t>o apibrėžtimi, maldos namų ir kitokios religinės veiklos pastatas yra viena iš viešojo pastato rūšių.</w:t>
                  </w:r>
                </w:p>
              </w:sdtContent>
            </w:sdt>
            <w:sdt>
              <w:sdtPr>
                <w:alias w:val="1.5 pp."/>
                <w:tag w:val="part_1410065ac9e04094b1a9ffab65c470c3"/>
                <w:id w:val="-133798621"/>
                <w:lock w:val="sdtLocked"/>
              </w:sdtPr>
              <w:sdtEndPr/>
              <w:sdtContent>
                <w:p w:rsidR="005D0F64" w:rsidRDefault="002E0200">
                  <w:pPr>
                    <w:ind w:firstLine="709"/>
                    <w:jc w:val="both"/>
                    <w:rPr>
                      <w:color w:val="000000"/>
                    </w:rPr>
                  </w:pPr>
                  <w:sdt>
                    <w:sdtPr>
                      <w:alias w:val="Numeris"/>
                      <w:tag w:val="nr_1410065ac9e04094b1a9ffab65c470c3"/>
                      <w:id w:val="-1339305023"/>
                      <w:lock w:val="sdtLocked"/>
                    </w:sdtPr>
                    <w:sdtEndPr/>
                    <w:sdtContent>
                      <w:r>
                        <w:rPr>
                          <w:color w:val="000000"/>
                        </w:rPr>
                        <w:t>1.5</w:t>
                      </w:r>
                    </w:sdtContent>
                  </w:sdt>
                  <w:r>
                    <w:rPr>
                      <w:color w:val="000000"/>
                    </w:rPr>
                    <w:t xml:space="preserve">. </w:t>
                  </w:r>
                  <w:r>
                    <w:t>Skiriasi bendruomeninių organizacijų ir asociacijų, ir religinių bendruomenių ir bendrijų veikimo tikslai. Vadovaujantis Lietuvos Respublikos ben</w:t>
                  </w:r>
                  <w:r>
                    <w:t>druomeninių organizacijų plėtros įstatymo 2 straipsnio 1 dalyje nustatyta bendruomeninės organizacijos sąvoka, pagal kurią bendruomeninės organizacijos</w:t>
                  </w:r>
                  <w:r>
                    <w:rPr>
                      <w:color w:val="000000"/>
                    </w:rPr>
                    <w:t xml:space="preserve"> paskirtis – per iniciatyvas įgyvendinti viešuosius interesus, susijusius su gyvenimu kaimynystėje, gyven</w:t>
                  </w:r>
                  <w:r>
                    <w:rPr>
                      <w:color w:val="000000"/>
                    </w:rPr>
                    <w:t>tojų asociacijos prilyginimas fiziniams asmenims, kokie ir yra buitiniai elektros energijos vartotojai, yra logiškas. Religinių bendruomenių ir bendrijų įstatymo 4 straipsnio 1 ir 2 dalyse apibrėžti kitokie nei bendruomeninių organizacijų tikslai, t. y. re</w:t>
                  </w:r>
                  <w:r>
                    <w:rPr>
                      <w:color w:val="000000"/>
                    </w:rPr>
                    <w:t>liginės bendruomenės ir religinės bendrijos, kaip bažnyčių ir tolygių religinių bendruomenių susivienijimo, siekis yra įgyvendinti tos pačios religijos tikslus.</w:t>
                  </w:r>
                </w:p>
              </w:sdtContent>
            </w:sdt>
          </w:sdtContent>
        </w:sdt>
        <w:sdt>
          <w:sdtPr>
            <w:alias w:val="2 p."/>
            <w:tag w:val="part_04732a99caca4bbba24eea842e8bc25f"/>
            <w:id w:val="-895043094"/>
            <w:lock w:val="sdtLocked"/>
          </w:sdtPr>
          <w:sdtEndPr/>
          <w:sdtContent>
            <w:p w:rsidR="005D0F64" w:rsidRDefault="002E0200">
              <w:pPr>
                <w:ind w:firstLine="709"/>
                <w:jc w:val="both"/>
              </w:pPr>
              <w:sdt>
                <w:sdtPr>
                  <w:alias w:val="Numeris"/>
                  <w:tag w:val="nr_04732a99caca4bbba24eea842e8bc25f"/>
                  <w:id w:val="873963831"/>
                  <w:lock w:val="sdtLocked"/>
                </w:sdtPr>
                <w:sdtEndPr/>
                <w:sdtContent>
                  <w:r>
                    <w:t>2</w:t>
                  </w:r>
                </w:sdtContent>
              </w:sdt>
              <w:r>
                <w:t>. Nepritarti Lietuvos Respublikos gamtinių dujų įstatymo Nr. VIII-1973 2 straipsnio pake</w:t>
              </w:r>
              <w:r>
                <w:t>itimo įstatymo projektui Nr. XVP-170(2) (toliau ‒ Gamtinių dujų įstatymo pakeitimo projektas) dėl šių priežasčių:</w:t>
              </w:r>
            </w:p>
            <w:sdt>
              <w:sdtPr>
                <w:alias w:val="2.1 pp."/>
                <w:tag w:val="part_7019dbadccef43d3b361fd5523e8898a"/>
                <w:id w:val="-1704236309"/>
                <w:lock w:val="sdtLocked"/>
              </w:sdtPr>
              <w:sdtEndPr/>
              <w:sdtContent>
                <w:p w:rsidR="005D0F64" w:rsidRDefault="002E0200">
                  <w:pPr>
                    <w:ind w:firstLine="709"/>
                    <w:jc w:val="both"/>
                  </w:pPr>
                  <w:sdt>
                    <w:sdtPr>
                      <w:alias w:val="Numeris"/>
                      <w:tag w:val="nr_7019dbadccef43d3b361fd5523e8898a"/>
                      <w:id w:val="519983519"/>
                      <w:lock w:val="sdtLocked"/>
                    </w:sdtPr>
                    <w:sdtEndPr/>
                    <w:sdtContent>
                      <w:r>
                        <w:t>2.1</w:t>
                      </w:r>
                    </w:sdtContent>
                  </w:sdt>
                  <w:r>
                    <w:t>. Gamtinių dujų įstatymo pakeitimo projektu papildžius Lietuvos Respublikos gamtinių dujų įstatymo 2 straipsnio 1 dalyje įtvirtintą buiti</w:t>
                  </w:r>
                  <w:r>
                    <w:t>nio gamtinių dujų vartotojo sąvoką, atsiranda loginė prieštara, kai buitinio gamtinių dujų vartotojo tarifai taikomi skirtingiems pagal prigimtį teisės subjektams, t. y. galiojančioje buitinio gamtinių dujų vartotojo sąvokoje aiškiai įtvirtinta, kad toks v</w:t>
                  </w:r>
                  <w:r>
                    <w:t xml:space="preserve">artotojas yra fizinis asmuo ir kad jis vartoja gamtines dujas savo namų ūkio reikmėms. Tokia buitinio gamtinių dujų vartotojo sąvoka yra 2009 m. liepos 13 d. Europos Parlamento ir Tarybos direktyvos </w:t>
                  </w:r>
                  <w:hyperlink r:id="rId12" w:tgtFrame="_blank" w:history="1">
                    <w:r>
                      <w:rPr>
                        <w:color w:val="0000FF" w:themeColor="hyperlink"/>
                        <w:u w:val="single"/>
                      </w:rPr>
                      <w:t>2009/73/EB</w:t>
                    </w:r>
                  </w:hyperlink>
                  <w:r>
                    <w:t xml:space="preserve"> dėl gamtinių dujų vidaus rinkos bendrųjų taisyklių, panaikinančios Direktyvą </w:t>
                  </w:r>
                  <w:hyperlink r:id="rId13" w:tgtFrame="_blank" w:history="1">
                    <w:r>
                      <w:rPr>
                        <w:color w:val="0000FF" w:themeColor="hyperlink"/>
                        <w:u w:val="single"/>
                      </w:rPr>
                      <w:t>2003/55/EB</w:t>
                    </w:r>
                  </w:hyperlink>
                  <w:r>
                    <w:t>, 2 straipsni</w:t>
                  </w:r>
                  <w:r>
                    <w:t>o 25 punkto sąvokos „namų ūkio vartotojas“ perkėlimo rezultatas. Religinės bendruomenės ir bendrijos pagal gamtinių dujų vartojimo būdą ir vartotojo asmens formą atitinka Gamtinių dujų įstatymo 2 straipsnio 55 dalyje apibrėžtą nebuitinio gamtinių dujų vart</w:t>
                  </w:r>
                  <w:r>
                    <w:t>otojo sąvoką, t. y. jos perka gamtines dujas naudoti ne savo namų ūkio reikmėms, ir konkrečiai nenurodyta, kokios asmens formos yra gamtinių dujų vartotojas, t. y. gali būti tiek fizinis, tiek juridinis asmuo.</w:t>
                  </w:r>
                </w:p>
              </w:sdtContent>
            </w:sdt>
            <w:sdt>
              <w:sdtPr>
                <w:alias w:val="2.2 pp."/>
                <w:tag w:val="part_f2dbfbd82eb344008a6e59543d63e295"/>
                <w:id w:val="1942411273"/>
                <w:lock w:val="sdtLocked"/>
              </w:sdtPr>
              <w:sdtEndPr/>
              <w:sdtContent>
                <w:p w:rsidR="005D0F64" w:rsidRDefault="002E0200">
                  <w:pPr>
                    <w:ind w:firstLine="709"/>
                    <w:jc w:val="both"/>
                  </w:pPr>
                  <w:sdt>
                    <w:sdtPr>
                      <w:alias w:val="Numeris"/>
                      <w:tag w:val="nr_f2dbfbd82eb344008a6e59543d63e295"/>
                      <w:id w:val="436643607"/>
                      <w:lock w:val="sdtLocked"/>
                    </w:sdtPr>
                    <w:sdtEndPr/>
                    <w:sdtContent>
                      <w:r>
                        <w:t>2.2</w:t>
                      </w:r>
                    </w:sdtContent>
                  </w:sdt>
                  <w:r>
                    <w:t>. Gamtinių dujų įstatymo 2 straipsnio 1</w:t>
                  </w:r>
                  <w:r>
                    <w:t xml:space="preserve"> dalyje nustatytą sąvokos apibrėžtį atitinkantys b</w:t>
                  </w:r>
                  <w:r>
                    <w:rPr>
                      <w:color w:val="000000"/>
                    </w:rPr>
                    <w:t>uitiniai gamtinių dujų vartotojai, t. y. tie fiziniai asmenys, kurie perka gamtines dujas asmeninėms reikmėms, savo statusu iš esmės skiriasi nuo nebuitinių gamtinių dujų vartotojų, kurie atitinkamai gamtin</w:t>
                  </w:r>
                  <w:r>
                    <w:rPr>
                      <w:color w:val="000000"/>
                    </w:rPr>
                    <w:t xml:space="preserve">es dujas perka ne namų ūkio, o kitoms reikmėms (ūkinei, komercinei, profesinei, viešajai veiklai vykdyti). Gamtinių dujų įstatyme yra atskirtas reguliavimas buitiniams gamtinių dujų vartotojams (kaip labiausiai pažeidžiamiems gamtinių dujų vartotojams) ir </w:t>
                  </w:r>
                  <w:r>
                    <w:rPr>
                      <w:color w:val="000000"/>
                    </w:rPr>
                    <w:t>nebuitiniams gamtinių dujų vartotojams, nustatytos ir skirtingos ginčų nagrinėjimo, sutarčių dėl gamtinių dujų tiekimo, perdavimo ir skirstymo sudarymo, prijungimo prie tinklo, suskystintų gamtinių dujų perkrovos paslaugų kainų, tarifų dydžių nustatymo, ga</w:t>
                  </w:r>
                  <w:r>
                    <w:rPr>
                      <w:color w:val="000000"/>
                    </w:rPr>
                    <w:t xml:space="preserve">rantinio tiekimo ir kitos taisyklės, todėl </w:t>
                  </w:r>
                  <w:r>
                    <w:t xml:space="preserve">Gamtinių dujų įstatymo pakeitimo projektu siūlomi </w:t>
                  </w:r>
                  <w:r>
                    <w:lastRenderedPageBreak/>
                    <w:t>pakeitimai paliestų ne tik mokėtinus tarifus už suvartotas gamtines dujas, bet ir kitas gamtinių dujų vartotojams svarbias nuostatas. Atsiradus galimybei religinėm</w:t>
                  </w:r>
                  <w:r>
                    <w:t xml:space="preserve">s bendruomenėms ir bendrijoms naudotis pažeidžiamų gamtinių dujų vartotojų garantijomis, bus nesilaikoma 2017  m. spalio 25 d. Europos Parlamento ir Tarybos reglamento </w:t>
                  </w:r>
                  <w:hyperlink r:id="rId14" w:tgtFrame="_blank" w:history="1">
                    <w:r>
                      <w:rPr>
                        <w:color w:val="0000FF" w:themeColor="hyperlink"/>
                        <w:u w:val="single"/>
                      </w:rPr>
                      <w:t>(ES) 2017/1938</w:t>
                    </w:r>
                  </w:hyperlink>
                  <w:r>
                    <w:t xml:space="preserve"> dėl dujų tiekimo saugumo užtikrinimo priemonių, kuriuo panaikinamas reglamentas </w:t>
                  </w:r>
                  <w:hyperlink r:id="rId15" w:tgtFrame="_blank" w:history="1">
                    <w:r>
                      <w:rPr>
                        <w:color w:val="0000FF" w:themeColor="hyperlink"/>
                        <w:u w:val="single"/>
                      </w:rPr>
                      <w:t>(ES) Nr. 994/2010</w:t>
                    </w:r>
                  </w:hyperlink>
                  <w:r>
                    <w:t>,</w:t>
                  </w:r>
                  <w:r>
                    <w:rPr>
                      <w:color w:val="000000"/>
                    </w:rPr>
                    <w:t xml:space="preserve"> 2 straipsnio 5 ir 6 dalių, i</w:t>
                  </w:r>
                  <w:r>
                    <w:rPr>
                      <w:color w:val="000000"/>
                    </w:rPr>
                    <w:t>r</w:t>
                  </w:r>
                  <w:r>
                    <w:t xml:space="preserve"> bus išbalansuojamas gamtinių dujų reguliavimo mechanizmas.</w:t>
                  </w:r>
                </w:p>
              </w:sdtContent>
            </w:sdt>
            <w:sdt>
              <w:sdtPr>
                <w:alias w:val="2.3 pp."/>
                <w:tag w:val="part_24c2a40d97fd4183bb08d49161ed9320"/>
                <w:id w:val="-1312246424"/>
                <w:lock w:val="sdtLocked"/>
              </w:sdtPr>
              <w:sdtEndPr/>
              <w:sdtContent>
                <w:p w:rsidR="005D0F64" w:rsidRDefault="002E0200" w:rsidP="002E0200">
                  <w:pPr>
                    <w:ind w:firstLine="709"/>
                    <w:jc w:val="both"/>
                    <w:rPr>
                      <w:lang w:eastAsia="lt-LT"/>
                    </w:rPr>
                  </w:pPr>
                  <w:sdt>
                    <w:sdtPr>
                      <w:alias w:val="Numeris"/>
                      <w:tag w:val="nr_24c2a40d97fd4183bb08d49161ed9320"/>
                      <w:id w:val="1057900545"/>
                      <w:lock w:val="sdtLocked"/>
                    </w:sdtPr>
                    <w:sdtEndPr/>
                    <w:sdtContent>
                      <w:r>
                        <w:t>2.3</w:t>
                      </w:r>
                    </w:sdtContent>
                  </w:sdt>
                  <w:r>
                    <w:t xml:space="preserve">. Kadangi Gamtinių dujų įstatymo pakeitimo projekto turinys atitinka Elektros energetikos įstatymo projekte siūlomą reguliavimą, Gamtinių dujų įstatymo pakeitimo projektui taip pat </w:t>
                  </w:r>
                  <w:r>
                    <w:t>nepritariama dėl šio nutarimo 1.</w:t>
                  </w:r>
                  <w:r>
                    <w:rPr>
                      <w:lang w:val="en-US"/>
                    </w:rPr>
                    <w:t>3</w:t>
                  </w:r>
                  <w:r>
                    <w:t>‒1.4 papunkčiuose nurodytų priežasčių.</w:t>
                  </w:r>
                </w:p>
              </w:sdtContent>
            </w:sdt>
          </w:sdtContent>
        </w:sdt>
        <w:sdt>
          <w:sdtPr>
            <w:alias w:val="signatura"/>
            <w:tag w:val="part_dcb4c3ea952e4358ba5678d5da050df3"/>
            <w:id w:val="-1189216592"/>
            <w:lock w:val="sdtLocked"/>
          </w:sdtPr>
          <w:sdtEndPr/>
          <w:sdtContent>
            <w:p w:rsidR="002E0200" w:rsidRDefault="002E0200">
              <w:pPr>
                <w:tabs>
                  <w:tab w:val="center" w:pos="-7800"/>
                  <w:tab w:val="left" w:pos="6237"/>
                  <w:tab w:val="right" w:pos="8306"/>
                </w:tabs>
              </w:pPr>
            </w:p>
            <w:p w:rsidR="002E0200" w:rsidRDefault="002E0200">
              <w:pPr>
                <w:tabs>
                  <w:tab w:val="center" w:pos="-7800"/>
                  <w:tab w:val="left" w:pos="6237"/>
                  <w:tab w:val="right" w:pos="8306"/>
                </w:tabs>
              </w:pPr>
            </w:p>
            <w:p w:rsidR="002E0200" w:rsidRDefault="002E0200">
              <w:pPr>
                <w:tabs>
                  <w:tab w:val="center" w:pos="-7800"/>
                  <w:tab w:val="left" w:pos="6237"/>
                  <w:tab w:val="right" w:pos="8306"/>
                </w:tabs>
              </w:pPr>
            </w:p>
            <w:p w:rsidR="005D0F64" w:rsidRDefault="002E0200" w:rsidP="002E0200">
              <w:pPr>
                <w:tabs>
                  <w:tab w:val="center" w:pos="-7800"/>
                  <w:tab w:val="left" w:pos="6237"/>
                  <w:tab w:val="right" w:pos="8222"/>
                </w:tabs>
                <w:rPr>
                  <w:lang w:eastAsia="lt-LT"/>
                </w:rPr>
              </w:pPr>
              <w:r>
                <w:rPr>
                  <w:lang w:eastAsia="lt-LT"/>
                </w:rPr>
                <w:t>Laikinai einantis Ministro Pirmininko pareigas</w:t>
              </w:r>
              <w:r>
                <w:rPr>
                  <w:lang w:eastAsia="lt-LT"/>
                </w:rPr>
                <w:tab/>
              </w:r>
              <w:r>
                <w:rPr>
                  <w:lang w:eastAsia="lt-LT"/>
                </w:rPr>
                <w:tab/>
              </w:r>
              <w:bookmarkStart w:id="0" w:name="_GoBack"/>
              <w:bookmarkEnd w:id="0"/>
              <w:r>
                <w:rPr>
                  <w:lang w:eastAsia="lt-LT"/>
                </w:rPr>
                <w:t xml:space="preserve">Rimantas </w:t>
              </w:r>
              <w:proofErr w:type="spellStart"/>
              <w:r>
                <w:rPr>
                  <w:lang w:eastAsia="lt-LT"/>
                </w:rPr>
                <w:t>Šadžius</w:t>
              </w:r>
              <w:proofErr w:type="spellEnd"/>
            </w:p>
            <w:p w:rsidR="005D0F64" w:rsidRDefault="005D0F64">
              <w:pPr>
                <w:tabs>
                  <w:tab w:val="center" w:pos="-7800"/>
                  <w:tab w:val="left" w:pos="6237"/>
                  <w:tab w:val="right" w:pos="8306"/>
                </w:tabs>
                <w:rPr>
                  <w:lang w:eastAsia="lt-LT"/>
                </w:rPr>
              </w:pPr>
            </w:p>
            <w:p w:rsidR="005D0F64" w:rsidRDefault="005D0F64">
              <w:pPr>
                <w:tabs>
                  <w:tab w:val="center" w:pos="-7800"/>
                  <w:tab w:val="left" w:pos="6237"/>
                  <w:tab w:val="right" w:pos="8306"/>
                </w:tabs>
                <w:rPr>
                  <w:lang w:eastAsia="lt-LT"/>
                </w:rPr>
              </w:pPr>
            </w:p>
            <w:p w:rsidR="005D0F64" w:rsidRDefault="005D0F64">
              <w:pPr>
                <w:tabs>
                  <w:tab w:val="center" w:pos="-7800"/>
                  <w:tab w:val="left" w:pos="6237"/>
                  <w:tab w:val="right" w:pos="8306"/>
                </w:tabs>
                <w:rPr>
                  <w:lang w:eastAsia="lt-LT"/>
                </w:rPr>
              </w:pPr>
            </w:p>
            <w:p w:rsidR="005D0F64" w:rsidRDefault="002E0200" w:rsidP="002E0200">
              <w:pPr>
                <w:tabs>
                  <w:tab w:val="center" w:pos="-7800"/>
                  <w:tab w:val="left" w:pos="6237"/>
                </w:tabs>
                <w:rPr>
                  <w:lang w:eastAsia="lt-LT"/>
                </w:rPr>
              </w:pPr>
              <w:r>
                <w:rPr>
                  <w:lang w:eastAsia="lt-LT"/>
                </w:rPr>
                <w:t>Laikinai einantis energetikos ministro pareigas</w:t>
              </w:r>
              <w:r>
                <w:rPr>
                  <w:lang w:eastAsia="lt-LT"/>
                </w:rPr>
                <w:tab/>
              </w:r>
              <w:r>
                <w:rPr>
                  <w:lang w:eastAsia="lt-LT"/>
                </w:rPr>
                <w:tab/>
              </w:r>
              <w:r>
                <w:rPr>
                  <w:lang w:eastAsia="lt-LT"/>
                </w:rPr>
                <w:t>Žygimantas Vaičiūnas</w:t>
              </w:r>
            </w:p>
            <w:p w:rsidR="005D0F64" w:rsidRDefault="002E0200">
              <w:pPr>
                <w:rPr>
                  <w:lang w:eastAsia="lt-LT"/>
                </w:rPr>
              </w:pPr>
            </w:p>
          </w:sdtContent>
        </w:sdt>
      </w:sdtContent>
    </w:sdt>
    <w:sectPr w:rsidR="005D0F64">
      <w:headerReference w:type="even" r:id="rId16"/>
      <w:headerReference w:type="default" r:id="rId17"/>
      <w:footerReference w:type="even" r:id="rId18"/>
      <w:footerReference w:type="default" r:id="rId19"/>
      <w:headerReference w:type="first" r:id="rId20"/>
      <w:footerReference w:type="first" r:id="rId21"/>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D0F64" w:rsidRDefault="002E0200">
      <w:pPr>
        <w:rPr>
          <w:lang w:eastAsia="lt-LT"/>
        </w:rPr>
      </w:pPr>
      <w:r>
        <w:rPr>
          <w:lang w:eastAsia="lt-LT"/>
        </w:rPr>
        <w:separator/>
      </w:r>
    </w:p>
  </w:endnote>
  <w:endnote w:type="continuationSeparator" w:id="0">
    <w:p w:rsidR="005D0F64" w:rsidRDefault="002E0200">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Tahoma">
    <w:panose1 w:val="020B0604030504040204"/>
    <w:charset w:val="BA"/>
    <w:family w:val="swiss"/>
    <w:pitch w:val="variable"/>
    <w:sig w:usb0="E1002EFF" w:usb1="C000605B" w:usb2="00000029" w:usb3="00000000" w:csb0="000101FF" w:csb1="00000000"/>
  </w:font>
  <w:font w:name="Andale Sans UI">
    <w:altName w:val="Calibri"/>
    <w:charset w:val="BA"/>
    <w:family w:val="swiss"/>
    <w:pitch w:val="variable"/>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0F64" w:rsidRDefault="005D0F64">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0F64" w:rsidRDefault="005D0F64">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0F64" w:rsidRDefault="005D0F64">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D0F64" w:rsidRDefault="002E0200">
      <w:pPr>
        <w:rPr>
          <w:lang w:eastAsia="lt-LT"/>
        </w:rPr>
      </w:pPr>
      <w:r>
        <w:rPr>
          <w:lang w:eastAsia="lt-LT"/>
        </w:rPr>
        <w:separator/>
      </w:r>
    </w:p>
  </w:footnote>
  <w:footnote w:type="continuationSeparator" w:id="0">
    <w:p w:rsidR="005D0F64" w:rsidRDefault="002E0200">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0F64" w:rsidRDefault="002E0200">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rsidR="005D0F64" w:rsidRDefault="005D0F64">
    <w:pPr>
      <w:tabs>
        <w:tab w:val="center" w:pos="4153"/>
        <w:tab w:val="right" w:pos="8306"/>
      </w:tabs>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0F64" w:rsidRDefault="002E0200">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3</w:t>
    </w:r>
    <w:r>
      <w:rPr>
        <w:lang w:eastAsia="lt-LT"/>
      </w:rPr>
      <w:fldChar w:fldCharType="end"/>
    </w:r>
  </w:p>
  <w:p w:rsidR="005D0F64" w:rsidRDefault="005D0F64">
    <w:pPr>
      <w:tabs>
        <w:tab w:val="center" w:pos="4153"/>
        <w:tab w:val="right" w:pos="8306"/>
      </w:tabs>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0F64" w:rsidRDefault="005D0F64">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2E0200"/>
    <w:rsid w:val="004C66E7"/>
    <w:rsid w:val="005D0F6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29C9266"/>
  <w15:docId w15:val="{EEA5D132-4988-4854-BFC7-383D332DB4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eur-lex.europa.eu/legal-content/LIT/TXT/?uri=CELEX:32003L0055&amp;locale=lt"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hyperlink" Target="http://eur-lex.europa.eu/legal-content/LIT/TXT/?uri=CELEX:32009L0073&amp;locale=lt"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ur-lex.europa.eu/legal-content/LIT/TXT/?uri=CELEX:32012L0027&amp;locale=lt" TargetMode="External"/><Relationship Id="rId5" Type="http://schemas.openxmlformats.org/officeDocument/2006/relationships/settings" Target="settings.xml"/><Relationship Id="rId15" Type="http://schemas.openxmlformats.org/officeDocument/2006/relationships/hyperlink" Target="http://eur-lex.europa.eu/legal-content/LIT/TXT/?uri=CELEX:32010R0994&amp;locale=lt" TargetMode="External"/><Relationship Id="rId23" Type="http://schemas.openxmlformats.org/officeDocument/2006/relationships/theme" Target="theme/theme1.xml"/><Relationship Id="rId10" Type="http://schemas.openxmlformats.org/officeDocument/2006/relationships/hyperlink" Target="http://eur-lex.europa.eu/legal-content/LIT/TXT/?uri=CELEX:32019L0944&amp;locale=lt" TargetMode="External"/><Relationship Id="rId19" Type="http://schemas.openxmlformats.org/officeDocument/2006/relationships/footer" Target="footer2.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eur-lex.europa.eu/legal-content/LIT/TXT/?uri=CELEX:32017R1938&amp;locale=lt"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6D407E296A106948A0E3F0F54127E0C7" ma:contentTypeVersion="18" ma:contentTypeDescription="Kurkite naują dokumentą." ma:contentTypeScope="" ma:versionID="23b57c8e8119b5117880ef176ba9d4ab">
  <xsd:schema xmlns:xsd="http://www.w3.org/2001/XMLSchema" xmlns:xs="http://www.w3.org/2001/XMLSchema" xmlns:p="http://schemas.microsoft.com/office/2006/metadata/properties" xmlns:ns2="0923b218-0f9e-43cd-be6f-01374eb3c24a" xmlns:ns3="f342d7bc-d160-4551-b9ef-b032839a489c" targetNamespace="http://schemas.microsoft.com/office/2006/metadata/properties" ma:root="true" ma:fieldsID="9a41d3b576a1937f011a8102c9a9329b" ns2:_="" ns3:_="">
    <xsd:import namespace="0923b218-0f9e-43cd-be6f-01374eb3c24a"/>
    <xsd:import namespace="f342d7bc-d160-4551-b9ef-b032839a489c"/>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2:MediaServiceLocatio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923b218-0f9e-43cd-be6f-01374eb3c24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CR" ma:index="10" nillable="true" ma:displayName="Extracted Text" ma:internalName="MediaServiceOCR" ma:readOnly="true">
      <xsd:simpleType>
        <xsd:restriction base="dms:Note">
          <xsd:maxLength value="255"/>
        </xsd:restriction>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Location" ma:index="16" nillable="true" ma:displayName="Location" ma:internalName="MediaServiceLocatio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Vaizdų žymės" ma:readOnly="false" ma:fieldId="{5cf76f15-5ced-4ddc-b409-7134ff3c332f}" ma:taxonomyMulti="true" ma:sspId="08049582-af26-4f7a-a98f-3d23221832af" ma:termSetId="09814cd3-568e-fe90-9814-8d621ff8fb84" ma:anchorId="fba54fb3-c3e1-fe81-a776-ca4b69148c4d" ma:open="true" ma:isKeyword="false">
      <xsd:complexType>
        <xsd:sequence>
          <xsd:element ref="pc:Terms" minOccurs="0" maxOccurs="1"/>
        </xsd:sequence>
      </xsd:complex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342d7bc-d160-4551-b9ef-b032839a489c" elementFormDefault="qualified">
    <xsd:import namespace="http://schemas.microsoft.com/office/2006/documentManagement/types"/>
    <xsd:import namespace="http://schemas.microsoft.com/office/infopath/2007/PartnerControls"/>
    <xsd:element name="SharedWithUsers" ma:index="17"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Bendrinta su išsamia informacija" ma:internalName="SharedWithDetails" ma:readOnly="true">
      <xsd:simpleType>
        <xsd:restriction base="dms:Note">
          <xsd:maxLength value="255"/>
        </xsd:restriction>
      </xsd:simpleType>
    </xsd:element>
    <xsd:element name="TaxCatchAll" ma:index="22" nillable="true" ma:displayName="Taxonomy Catch All stulpelis" ma:hidden="true" ma:list="{b4081e89-290a-4a5c-b1ac-2000acd064d3}" ma:internalName="TaxCatchAll" ma:showField="CatchAllData" ma:web="f342d7bc-d160-4551-b9ef-b032839a489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arts xmlns="http://lrs.lt/TAIS/DocParts">
  <Part Type="pagrindine" DocPartId="050e5f99dae24f099cc151ba410cbaef" PartId="3cc5d5cb4aa34adf81c250897043dcc3">
    <Part Type="preambule" DocPartId="05a43fdf04b343ce89dbe1e373a5fa14" PartId="53160c8411d543b987dadaaf9fff47f7"/>
    <Part Type="punktas" Nr="1" Abbr="1 p." DocPartId="fb222f40f9974b57a9d4ca5a32016fbf" PartId="c11c5aa45b5e496786076ffab86386a1">
      <Part Type="papunktis" Nr="1.1" Abbr="1.1 pp." DocPartId="6f2f6861dae746f4a25a6bea208c1c7f" PartId="5d783b22100c4e7b8bde0fdac4ee80df"/>
      <Part Type="papunktis" Nr="1.2" Abbr="1.2 pp." DocPartId="f0bd3930b5b7446093a421eaa57305c0" PartId="a785715218d34acdaee8fb8d73649830"/>
      <Part Type="papunktis" Nr="1.3" Abbr="1.3 pp." DocPartId="7fab44c544784390907dbadf4714d230" PartId="68a8e9da794c4a129e6bbfefc1ad373f"/>
      <Part Type="papunktis" Nr="1.4" Abbr="1.4 pp." DocPartId="e3c31a84d5a84ea7a5f7decb36f46724" PartId="911683f28eae4ba89b00f021e585f472"/>
      <Part Type="papunktis" Nr="1.5" Abbr="1.5 pp." DocPartId="34844ef353664410b3ec499989f94612" PartId="1410065ac9e04094b1a9ffab65c470c3"/>
    </Part>
    <Part Type="punktas" Nr="2" Abbr="2 p." DocPartId="b431a21ed87a46fa91bebff1d4ba6036" PartId="04732a99caca4bbba24eea842e8bc25f">
      <Part Type="papunktis" Nr="2.1" Abbr="2.1 pp." DocPartId="ab56f6a5469f4e128342b9c3cb607b23" PartId="7019dbadccef43d3b361fd5523e8898a"/>
      <Part Type="papunktis" Nr="2.2" Abbr="2.2 pp." DocPartId="fe62c098509e4aff8445c5074c4759f6" PartId="f2dbfbd82eb344008a6e59543d63e295"/>
      <Part Type="papunktis" Nr="2.3" Abbr="2.3 pp." DocPartId="fe7c22949ccd42dd87b8c235383648e0" PartId="24c2a40d97fd4183bb08d49161ed9320"/>
    </Part>
    <Part Type="signatura" DocPartId="4c3fba4fb41e4849b8b1ce30d303551c" PartId="dcb4c3ea952e4358ba5678d5da050df3"/>
  </Part>
</Parts>
</file>

<file path=customXml/itemProps1.xml><?xml version="1.0" encoding="utf-8"?>
<ds:datastoreItem xmlns:ds="http://schemas.openxmlformats.org/officeDocument/2006/customXml" ds:itemID="{B1196703-DB08-4826-BFDA-F31643EE46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923b218-0f9e-43cd-be6f-01374eb3c24a"/>
    <ds:schemaRef ds:uri="f342d7bc-d160-4551-b9ef-b032839a489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D7800D5-103C-43E8-BA6B-B65DD76D6F22}">
  <ds:schemaRefs>
    <ds:schemaRef ds:uri="http://schemas.microsoft.com/sharepoint/v3/contenttype/forms"/>
  </ds:schemaRefs>
</ds:datastoreItem>
</file>

<file path=customXml/itemProps3.xml><?xml version="1.0" encoding="utf-8"?>
<ds:datastoreItem xmlns:ds="http://schemas.openxmlformats.org/officeDocument/2006/customXml" ds:itemID="{99E34F9B-1EA1-497C-9F47-4B77ADFEDD2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1099</Words>
  <Characters>8372</Characters>
  <Application>Microsoft Office Word</Application>
  <DocSecurity>0</DocSecurity>
  <Lines>69</Lines>
  <Paragraphs>18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9453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GRINKEVIČIŪTĖ Agnė</cp:lastModifiedBy>
  <cp:revision>3</cp:revision>
  <cp:lastPrinted>2017-06-01T05:28:00Z</cp:lastPrinted>
  <dcterms:created xsi:type="dcterms:W3CDTF">2025-09-18T06:55:00Z</dcterms:created>
  <dcterms:modified xsi:type="dcterms:W3CDTF">2025-09-18T08:37:00Z</dcterms:modified>
</cp:coreProperties>
</file>