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f8e52215393496aa5e639b51d114887"/>
        <w:id w:val="-538430427"/>
        <w:lock w:val="sdtLocked"/>
      </w:sdtPr>
      <w:sdtEndPr/>
      <w:sdtContent>
        <w:p w14:paraId="1DEA63FB" w14:textId="77777777" w:rsidR="004D6CCE" w:rsidRDefault="004D6CCE">
          <w:pPr>
            <w:tabs>
              <w:tab w:val="center" w:pos="4986"/>
              <w:tab w:val="right" w:pos="9972"/>
            </w:tabs>
            <w:rPr>
              <w:rFonts w:ascii="TimesLT" w:hAnsi="TimesLT"/>
              <w:sz w:val="20"/>
              <w:lang w:val="en-GB"/>
            </w:rPr>
          </w:pPr>
        </w:p>
        <w:p w14:paraId="47F739E0" w14:textId="3FDBA997" w:rsidR="004D6CCE" w:rsidRDefault="00414030">
          <w:pPr>
            <w:jc w:val="center"/>
            <w:rPr>
              <w:sz w:val="20"/>
            </w:rPr>
          </w:pPr>
          <w:r>
            <w:rPr>
              <w:noProof/>
              <w:szCs w:val="24"/>
              <w:lang w:eastAsia="lt-LT"/>
            </w:rPr>
            <w:drawing>
              <wp:inline distT="0" distB="0" distL="0" distR="0" wp14:anchorId="6905E204" wp14:editId="21BC9D54">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7274344B" w14:textId="77777777" w:rsidR="004D6CCE" w:rsidRDefault="004D6CCE">
          <w:pPr>
            <w:rPr>
              <w:rFonts w:ascii="TimesLT" w:hAnsi="TimesLT"/>
              <w:sz w:val="20"/>
            </w:rPr>
          </w:pPr>
        </w:p>
        <w:p w14:paraId="7C8A4DE7" w14:textId="5558FB4E" w:rsidR="004D6CCE" w:rsidRDefault="00414030">
          <w:pPr>
            <w:jc w:val="center"/>
            <w:rPr>
              <w:szCs w:val="24"/>
            </w:rPr>
          </w:pPr>
          <w:r>
            <w:rPr>
              <w:b/>
              <w:szCs w:val="24"/>
            </w:rPr>
            <w:t>LIETUVOS RESPUBLIKOS SOCIALINĖS APSAUGOS IR DARBO MINISTRAS</w:t>
          </w:r>
        </w:p>
        <w:p w14:paraId="60DB8AD5" w14:textId="77777777" w:rsidR="004D6CCE" w:rsidRDefault="004D6CCE">
          <w:pPr>
            <w:jc w:val="center"/>
            <w:rPr>
              <w:szCs w:val="24"/>
            </w:rPr>
          </w:pPr>
        </w:p>
        <w:p w14:paraId="6169E737" w14:textId="77777777" w:rsidR="004D6CCE" w:rsidRDefault="00414030">
          <w:pPr>
            <w:jc w:val="center"/>
            <w:rPr>
              <w:b/>
              <w:szCs w:val="24"/>
            </w:rPr>
          </w:pPr>
          <w:r>
            <w:rPr>
              <w:b/>
              <w:szCs w:val="24"/>
            </w:rPr>
            <w:t>ĮSAKYMAS</w:t>
          </w:r>
        </w:p>
        <w:p w14:paraId="1C776FD8" w14:textId="2C390D7B" w:rsidR="004D6CCE" w:rsidRDefault="00414030">
          <w:pPr>
            <w:jc w:val="center"/>
            <w:rPr>
              <w:b/>
              <w:szCs w:val="24"/>
            </w:rPr>
          </w:pPr>
          <w:r>
            <w:rPr>
              <w:b/>
              <w:szCs w:val="24"/>
            </w:rPr>
            <w:t xml:space="preserve">DĖL LIETUVOS RESPUBLIKOS SOCIALINĖS APSAUGOS IR DARBO MINISTRO 2024 M. RUGSĖJO 20 D. ĮSAKYMO NR. A1-626 „DĖL LIETUVOS RESPUBLIKOS SOCIALINĖS APSAUGOS IR DARBO MINISTRO 2007 M. </w:t>
          </w:r>
          <w:r>
            <w:rPr>
              <w:b/>
              <w:szCs w:val="24"/>
            </w:rPr>
            <w:t>VASARIO 20 D. ĮSAKYMO NR. A1-46 „DĖL SOCIALINĖS GLOBOS NORMŲ APRAŠO PATVIRTINIMO“ PAKEITIMO“ PAKEITIMO</w:t>
          </w:r>
        </w:p>
        <w:p w14:paraId="24935DE1" w14:textId="77777777" w:rsidR="004D6CCE" w:rsidRDefault="004D6CCE">
          <w:pPr>
            <w:jc w:val="center"/>
            <w:rPr>
              <w:b/>
              <w:szCs w:val="24"/>
            </w:rPr>
          </w:pPr>
        </w:p>
        <w:p w14:paraId="2D0A7FB2" w14:textId="693DA9C2" w:rsidR="004D6CCE" w:rsidRDefault="00414030">
          <w:pPr>
            <w:jc w:val="center"/>
          </w:pPr>
          <w:r>
            <w:t xml:space="preserve">2025 m. gruodžio 10 d. </w:t>
          </w:r>
          <w:r>
            <w:t xml:space="preserve">Nr. </w:t>
          </w:r>
          <w:r w:rsidRPr="00414030">
            <w:t>A1-720</w:t>
          </w:r>
        </w:p>
        <w:p w14:paraId="06D19B6C" w14:textId="77777777" w:rsidR="004D6CCE" w:rsidRDefault="00414030">
          <w:pPr>
            <w:jc w:val="center"/>
            <w:rPr>
              <w:szCs w:val="24"/>
            </w:rPr>
          </w:pPr>
          <w:r>
            <w:rPr>
              <w:szCs w:val="24"/>
            </w:rPr>
            <w:t>Vilnius</w:t>
          </w:r>
        </w:p>
        <w:p w14:paraId="6583F1CE" w14:textId="77777777" w:rsidR="004D6CCE" w:rsidRDefault="004D6CCE">
          <w:pPr>
            <w:tabs>
              <w:tab w:val="left" w:pos="9356"/>
            </w:tabs>
            <w:ind w:right="-1" w:firstLine="709"/>
            <w:jc w:val="both"/>
            <w:rPr>
              <w:szCs w:val="24"/>
            </w:rPr>
          </w:pPr>
        </w:p>
        <w:sdt>
          <w:sdtPr>
            <w:alias w:val="pastraipa"/>
            <w:tag w:val="part_efd3afd3ab9e4f208bebf0d43d2b18e5"/>
            <w:id w:val="1295719247"/>
            <w:lock w:val="sdtLocked"/>
          </w:sdtPr>
          <w:sdtEndPr/>
          <w:sdtContent>
            <w:p w14:paraId="052D3D35" w14:textId="4F015005" w:rsidR="004D6CCE" w:rsidRDefault="00414030">
              <w:pPr>
                <w:tabs>
                  <w:tab w:val="left" w:pos="9356"/>
                </w:tabs>
                <w:ind w:right="-1" w:firstLine="851"/>
                <w:jc w:val="both"/>
                <w:rPr>
                  <w:szCs w:val="24"/>
                </w:rPr>
              </w:pPr>
              <w:r>
                <w:rPr>
                  <w:spacing w:val="100"/>
                  <w:szCs w:val="24"/>
                </w:rPr>
                <w:t>Pakeičiu</w:t>
              </w:r>
              <w:r>
                <w:rPr>
                  <w:szCs w:val="24"/>
                </w:rPr>
                <w:t xml:space="preserve"> Lietuvos Respublikos socialinės apsaugos ir darbo ministro 2024 m. rugsėjo 20 d. įsakymą Nr. A1-626 „Dėl Lietuvos Respublikos soc</w:t>
              </w:r>
              <w:r>
                <w:rPr>
                  <w:szCs w:val="24"/>
                </w:rPr>
                <w:t>ialinės apsaugos ir darbo ministro 2007 m. vasario 20 d. įsakymo Nr. A1-46 „Dėl Socialinės globos normų aprašo patvirtinimo“ pakeitimo“ ir 2.7 papunktį išdėstau taip:</w:t>
              </w:r>
            </w:p>
            <w:sdt>
              <w:sdtPr>
                <w:alias w:val="citata"/>
                <w:tag w:val="part_6888cc1ed1ed4c71adac641582cf3598"/>
                <w:id w:val="652717931"/>
                <w:lock w:val="sdtLocked"/>
                <w:placeholder>
                  <w:docPart w:val="DefaultPlaceholder_-1854013440"/>
                </w:placeholder>
              </w:sdtPr>
              <w:sdtContent>
                <w:sdt>
                  <w:sdtPr>
                    <w:alias w:val="2.7 pp."/>
                    <w:tag w:val="part_6ebeeacf8aa4451881a1b8770fe6db10"/>
                    <w:id w:val="-299999787"/>
                    <w:lock w:val="sdtLocked"/>
                    <w:placeholder>
                      <w:docPart w:val="DefaultPlaceholder_-1854013440"/>
                    </w:placeholder>
                  </w:sdtPr>
                  <w:sdtContent>
                    <w:p w14:paraId="40A595F9" w14:textId="6F3C4AD4" w:rsidR="004D6CCE" w:rsidRDefault="00414030">
                      <w:pPr>
                        <w:tabs>
                          <w:tab w:val="left" w:pos="9356"/>
                        </w:tabs>
                        <w:ind w:right="-1" w:firstLine="851"/>
                        <w:jc w:val="both"/>
                        <w:rPr>
                          <w:szCs w:val="24"/>
                        </w:rPr>
                      </w:pPr>
                      <w:r>
                        <w:rPr>
                          <w:szCs w:val="24"/>
                        </w:rPr>
                        <w:t>„</w:t>
                      </w:r>
                      <w:sdt>
                        <w:sdtPr>
                          <w:alias w:val="Numeris"/>
                          <w:tag w:val="nr_6ebeeacf8aa4451881a1b8770fe6db10"/>
                          <w:id w:val="-535198250"/>
                          <w:lock w:val="sdtLocked"/>
                        </w:sdtPr>
                        <w:sdtEndPr/>
                        <w:sdtContent>
                          <w:r>
                            <w:rPr>
                              <w:szCs w:val="24"/>
                            </w:rPr>
                            <w:t>2.7</w:t>
                          </w:r>
                        </w:sdtContent>
                      </w:sdt>
                      <w:r>
                        <w:rPr>
                          <w:szCs w:val="24"/>
                        </w:rPr>
                        <w:t>. 2029 m. sausio 1 d. įsigalioja tokia šiuo įsakymu nauja redakcija išdėstyto Socia</w:t>
                      </w:r>
                      <w:r>
                        <w:rPr>
                          <w:szCs w:val="24"/>
                        </w:rPr>
                        <w:t>linės globos normų aprašo 4 priedo 13 punkto redakcija:</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2977"/>
                        <w:gridCol w:w="5812"/>
                      </w:tblGrid>
                      <w:tr w:rsidR="004D6CCE" w14:paraId="28068D90" w14:textId="77777777">
                        <w:trPr>
                          <w:trHeight w:val="15"/>
                        </w:trPr>
                        <w:tc>
                          <w:tcPr>
                            <w:tcW w:w="701" w:type="dxa"/>
                            <w:tcBorders>
                              <w:top w:val="single" w:sz="6" w:space="0" w:color="auto"/>
                              <w:left w:val="single" w:sz="6" w:space="0" w:color="auto"/>
                              <w:bottom w:val="single" w:sz="6" w:space="0" w:color="auto"/>
                              <w:right w:val="single" w:sz="6" w:space="0" w:color="auto"/>
                            </w:tcBorders>
                            <w:hideMark/>
                          </w:tcPr>
                          <w:p w14:paraId="2C329666" w14:textId="23506D5C" w:rsidR="004D6CCE" w:rsidRDefault="00414030">
                            <w:pPr>
                              <w:jc w:val="center"/>
                              <w:textAlignment w:val="baseline"/>
                              <w:rPr>
                                <w:szCs w:val="24"/>
                                <w:lang w:eastAsia="lt-LT"/>
                              </w:rPr>
                            </w:pPr>
                            <w:r>
                              <w:rPr>
                                <w:szCs w:val="24"/>
                                <w:lang w:eastAsia="lt-LT"/>
                              </w:rPr>
                              <w:t>„13. </w:t>
                            </w:r>
                          </w:p>
                        </w:tc>
                        <w:tc>
                          <w:tcPr>
                            <w:tcW w:w="2977" w:type="dxa"/>
                            <w:tcBorders>
                              <w:top w:val="single" w:sz="6" w:space="0" w:color="auto"/>
                              <w:left w:val="single" w:sz="6" w:space="0" w:color="auto"/>
                              <w:bottom w:val="single" w:sz="6" w:space="0" w:color="auto"/>
                              <w:right w:val="single" w:sz="6" w:space="0" w:color="auto"/>
                            </w:tcBorders>
                            <w:hideMark/>
                          </w:tcPr>
                          <w:p w14:paraId="2BC08B8A" w14:textId="09477B12" w:rsidR="004D6CCE" w:rsidRDefault="00414030">
                            <w:pPr>
                              <w:ind w:left="141" w:right="60"/>
                              <w:textAlignment w:val="baseline"/>
                              <w:rPr>
                                <w:szCs w:val="24"/>
                                <w:lang w:eastAsia="lt-LT"/>
                              </w:rPr>
                            </w:pPr>
                            <w:r>
                              <w:rPr>
                                <w:szCs w:val="24"/>
                                <w:lang w:eastAsia="lt-LT"/>
                              </w:rPr>
                              <w:t>Asmeniui garantuojama saugi, gerai sutvarkyta ir jo poreikiams tenkinti tinkama socialinės globos teikimo vieta bei aplinka </w:t>
                            </w:r>
                          </w:p>
                        </w:tc>
                        <w:tc>
                          <w:tcPr>
                            <w:tcW w:w="5812" w:type="dxa"/>
                            <w:tcBorders>
                              <w:top w:val="single" w:sz="6" w:space="0" w:color="auto"/>
                              <w:left w:val="single" w:sz="6" w:space="0" w:color="auto"/>
                              <w:bottom w:val="single" w:sz="6" w:space="0" w:color="auto"/>
                              <w:right w:val="single" w:sz="6" w:space="0" w:color="auto"/>
                            </w:tcBorders>
                            <w:hideMark/>
                          </w:tcPr>
                          <w:p w14:paraId="5E7088FD" w14:textId="0C06BA84" w:rsidR="004D6CCE" w:rsidRDefault="00414030">
                            <w:pPr>
                              <w:ind w:left="145" w:right="60"/>
                              <w:jc w:val="both"/>
                              <w:textAlignment w:val="baseline"/>
                              <w:rPr>
                                <w:szCs w:val="24"/>
                                <w:lang w:eastAsia="lt-LT"/>
                              </w:rPr>
                            </w:pPr>
                            <w:r>
                              <w:rPr>
                                <w:szCs w:val="24"/>
                                <w:lang w:eastAsia="lt-LT"/>
                              </w:rPr>
                              <w:t>13.1. Nuo 2030 metų suaugusiems asmenims su negalia ilgalaikė soc</w:t>
                            </w:r>
                            <w:r>
                              <w:rPr>
                                <w:szCs w:val="24"/>
                                <w:lang w:eastAsia="lt-LT"/>
                              </w:rPr>
                              <w:t xml:space="preserve">ialinė globa negali būti pradedama naujai teikti socialinės globos namuose suaugusiems asmenims su negalia ar stacionarinėse ilgalaikės priežiūros įstaigose suaugusiems asmenims su negalia, išskyrus specializuotus slaugos ir socialinės globos namus. Šiame </w:t>
                            </w:r>
                            <w:r>
                              <w:rPr>
                                <w:szCs w:val="24"/>
                                <w:lang w:eastAsia="lt-LT"/>
                              </w:rPr>
                              <w:t>papunktyje minimos įstaigos, išskyrus specializuotus slaugos ir socialinės globos namus, ne vėliau kaip iki 2028 m. sausio 1 d. turi patvirtinti su įstaigos savininko teises ir pareigas įgyvendinančia institucija suderintus priemonių, kurias įgyvendinus bu</w:t>
                            </w:r>
                            <w:r>
                              <w:rPr>
                                <w:szCs w:val="24"/>
                                <w:lang w:eastAsia="lt-LT"/>
                              </w:rPr>
                              <w:t>s įvykdytas reikalavimas nuo 2030 metų naujai nebeteikti suaugusiems asmenims su negalia ilgalaikės socialinės globos šiose įstaigose, išskyrus specializuotus slaugos ir socialinės globos namus, planus. Šiame papunktyje minimose įstaigose, išskyrus special</w:t>
                            </w:r>
                            <w:r>
                              <w:rPr>
                                <w:szCs w:val="24"/>
                                <w:lang w:eastAsia="lt-LT"/>
                              </w:rPr>
                              <w:t>izuotus slaugos ir socialinės globos namus, negali būti steigiamos papildomos vietos ilgalaikei socialinei globai suaugusiems asmenims su negalia teikti.</w:t>
                            </w:r>
                          </w:p>
                          <w:p w14:paraId="26530ED6" w14:textId="4623974F" w:rsidR="004D6CCE" w:rsidRDefault="00414030">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14:paraId="5B6CFE48" w14:textId="77777777" w:rsidR="004D6CCE" w:rsidRDefault="00414030">
                            <w:pPr>
                              <w:ind w:left="145" w:right="60" w:firstLine="47"/>
                              <w:jc w:val="both"/>
                              <w:textAlignment w:val="baseline"/>
                              <w:rPr>
                                <w:szCs w:val="24"/>
                                <w:lang w:eastAsia="lt-LT"/>
                              </w:rPr>
                            </w:pPr>
                            <w:r>
                              <w:rPr>
                                <w:szCs w:val="24"/>
                                <w:lang w:eastAsia="lt-LT"/>
                              </w:rPr>
                              <w:t>13.3. Senyvo amžiaus asmenims naujai steigiami grupinio gyvenimo namai, socialinės globos namai,</w:t>
                            </w:r>
                            <w:r>
                              <w:rPr>
                                <w:szCs w:val="24"/>
                                <w:lang w:eastAsia="lt-LT"/>
                              </w:rPr>
                              <w:t xml:space="preserve"> stacionarinės ilgalaikės priežiūros įstaigos senyvo amžiaus asmenims ir specializuoti slaugos ir socialinės globos namai.</w:t>
                            </w:r>
                          </w:p>
                          <w:p w14:paraId="7F64087D" w14:textId="77777777" w:rsidR="004D6CCE" w:rsidRDefault="00414030">
                            <w:pPr>
                              <w:ind w:left="145" w:right="60" w:firstLine="47"/>
                              <w:jc w:val="both"/>
                              <w:textAlignment w:val="baseline"/>
                              <w:rPr>
                                <w:szCs w:val="24"/>
                                <w:lang w:eastAsia="lt-LT"/>
                              </w:rPr>
                            </w:pPr>
                            <w:r>
                              <w:rPr>
                                <w:szCs w:val="24"/>
                                <w:lang w:eastAsia="lt-LT"/>
                              </w:rPr>
                              <w:t>13.4. Grupinio gyvenimo namų ir bendro gyvenimo namų steigimo reikalavimai:</w:t>
                            </w:r>
                          </w:p>
                          <w:p w14:paraId="3BA698AC" w14:textId="77777777" w:rsidR="004D6CCE" w:rsidRDefault="00414030">
                            <w:pPr>
                              <w:ind w:left="145" w:right="60" w:firstLine="47"/>
                              <w:jc w:val="both"/>
                              <w:textAlignment w:val="baseline"/>
                              <w:rPr>
                                <w:szCs w:val="24"/>
                                <w:lang w:eastAsia="lt-LT"/>
                              </w:rPr>
                            </w:pPr>
                            <w:r>
                              <w:rPr>
                                <w:szCs w:val="24"/>
                                <w:lang w:eastAsia="lt-LT"/>
                              </w:rPr>
                              <w:t xml:space="preserve">13.4.1. steigiami atskirose gyvenamosiose patalpose </w:t>
                            </w:r>
                            <w:r>
                              <w:rPr>
                                <w:szCs w:val="24"/>
                              </w:rPr>
                              <w:t>(atsk</w:t>
                            </w:r>
                            <w:r>
                              <w:rPr>
                                <w:szCs w:val="24"/>
                              </w:rPr>
                              <w:t>iruose nekilnojamojo turto objektuose)</w:t>
                            </w:r>
                            <w:r>
                              <w:rPr>
                                <w:szCs w:val="24"/>
                                <w:lang w:eastAsia="lt-LT"/>
                              </w:rPr>
                              <w:t>;</w:t>
                            </w:r>
                          </w:p>
                          <w:p w14:paraId="013BE2AB" w14:textId="77777777" w:rsidR="004D6CCE" w:rsidRDefault="00414030">
                            <w:pPr>
                              <w:ind w:left="145" w:right="60" w:firstLine="47"/>
                              <w:jc w:val="both"/>
                              <w:textAlignment w:val="baseline"/>
                              <w:rPr>
                                <w:szCs w:val="24"/>
                                <w:lang w:eastAsia="lt-LT"/>
                              </w:rPr>
                            </w:pPr>
                            <w:r>
                              <w:rPr>
                                <w:szCs w:val="24"/>
                                <w:lang w:eastAsia="lt-LT"/>
                              </w:rPr>
                              <w:lastRenderedPageBreak/>
                              <w:t xml:space="preserve">13.4.2. steigiami bendruomenės gyvenamojoje vietovėje, kurioje didžioji dalis gyventojų nėra susiję su socialinių paslaugų teikimu ir kurioje nėra gyventojų ar socialinių paslaugų gavėjų sankaupos pagal vieną požymį </w:t>
                            </w:r>
                            <w:r>
                              <w:rPr>
                                <w:szCs w:val="24"/>
                                <w:lang w:eastAsia="lt-LT"/>
                              </w:rPr>
                              <w:t>(asmenys su negalia ir pan.).</w:t>
                            </w:r>
                          </w:p>
                          <w:p w14:paraId="717367F9" w14:textId="77777777" w:rsidR="004D6CCE" w:rsidRDefault="00414030">
                            <w:pPr>
                              <w:ind w:left="145" w:right="60" w:firstLine="47"/>
                              <w:jc w:val="both"/>
                              <w:textAlignment w:val="baseline"/>
                              <w:rPr>
                                <w:szCs w:val="24"/>
                                <w:lang w:eastAsia="lt-LT"/>
                              </w:rPr>
                            </w:pPr>
                            <w:r>
                              <w:rPr>
                                <w:szCs w:val="24"/>
                                <w:lang w:eastAsia="lt-LT"/>
                              </w:rPr>
                              <w:t>13.5. Grupinio gyvenimo namai, bendro gyvenimo namai bendradarbiauja su bendruomenėje esančiomis įstaigomis (dienos centrais, bendruomenės centrais, dienos socialinės globos centrais ir kt.) ir sudaro galimybes asmenims  naudo</w:t>
                            </w:r>
                            <w:r>
                              <w:rPr>
                                <w:szCs w:val="24"/>
                                <w:lang w:eastAsia="lt-LT"/>
                              </w:rPr>
                              <w:t xml:space="preserve">tis šių įstaigų teikiamomis paslaugomis. </w:t>
                            </w:r>
                          </w:p>
                          <w:p w14:paraId="7368C1F4" w14:textId="7A6072B8" w:rsidR="004D6CCE" w:rsidRDefault="00414030">
                            <w:pPr>
                              <w:ind w:left="145" w:right="60" w:firstLine="47"/>
                              <w:jc w:val="both"/>
                              <w:textAlignment w:val="baseline"/>
                              <w:rPr>
                                <w:szCs w:val="24"/>
                                <w:lang w:eastAsia="lt-LT"/>
                              </w:rPr>
                            </w:pPr>
                            <w:r>
                              <w:rPr>
                                <w:szCs w:val="24"/>
                                <w:lang w:eastAsia="lt-LT"/>
                              </w:rPr>
                              <w:t>13.6. Asmeniui, turinčiam specialiųjų poreikių, ar darbingo amžiaus asmeniui su negalia užtikrinta jo poreikiams pritaikyta aplinka, reikalinga kasdieniam gyvenimui bei paslaugoms gauti, taip pat užtikrintos galimy</w:t>
                            </w:r>
                            <w:r>
                              <w:rPr>
                                <w:szCs w:val="24"/>
                                <w:lang w:eastAsia="lt-LT"/>
                              </w:rPr>
                              <w:t xml:space="preserve">bės lengvai judėti socialinės globos įstaigos teritorijoje ir patalpose, saugiai naudotis poilsio ir rekreacijos zonomis, esančiomis socialinės globos įstaigos teritorijoje: </w:t>
                            </w:r>
                          </w:p>
                          <w:p w14:paraId="14E594D2" w14:textId="77777777" w:rsidR="004D6CCE" w:rsidRDefault="00414030">
                            <w:pPr>
                              <w:ind w:left="145" w:right="60" w:firstLine="47"/>
                              <w:jc w:val="both"/>
                              <w:textAlignment w:val="baseline"/>
                              <w:rPr>
                                <w:szCs w:val="24"/>
                                <w:lang w:eastAsia="lt-LT"/>
                              </w:rPr>
                            </w:pPr>
                            <w:r>
                              <w:rPr>
                                <w:szCs w:val="24"/>
                                <w:lang w:eastAsia="lt-LT"/>
                              </w:rPr>
                              <w:t xml:space="preserve">13.6.1. laisvam, savarankiškam ir saugiam judėjimui užtikrinti socialinės globos </w:t>
                            </w:r>
                            <w:r>
                              <w:rPr>
                                <w:szCs w:val="24"/>
                                <w:lang w:eastAsia="lt-LT"/>
                              </w:rPr>
                              <w:t xml:space="preserve">namuose ir stacionarinėse ilgalaikės priežiūros įstaigose įrengti vertikalūs keltuvai (lifto tipo keltuvai) ir (ar) liftai, kurie yra pasiekiami tiesiogiai, nenaudojant jokių papildomų priemonių, išskyrus asmenines; </w:t>
                            </w:r>
                          </w:p>
                          <w:p w14:paraId="39D0B0BB" w14:textId="77777777" w:rsidR="004D6CCE" w:rsidRDefault="00414030">
                            <w:pPr>
                              <w:ind w:left="145" w:right="60" w:firstLine="47"/>
                              <w:jc w:val="both"/>
                              <w:textAlignment w:val="baseline"/>
                              <w:rPr>
                                <w:szCs w:val="24"/>
                                <w:lang w:eastAsia="lt-LT"/>
                              </w:rPr>
                            </w:pPr>
                            <w:r>
                              <w:rPr>
                                <w:szCs w:val="24"/>
                                <w:lang w:eastAsia="lt-LT"/>
                              </w:rPr>
                              <w:t>13.6.2. grupinio gyvenimo namuose ir be</w:t>
                            </w:r>
                            <w:r>
                              <w:rPr>
                                <w:szCs w:val="24"/>
                                <w:lang w:eastAsia="lt-LT"/>
                              </w:rPr>
                              <w:t xml:space="preserve">ndro gyvenimo namuose asmenys pagal galimybes naudojasi saugiomis bendruomenės rekreacijos zonomis, sporto aikštelėmis ir pan.; </w:t>
                            </w:r>
                          </w:p>
                          <w:p w14:paraId="5BCF3BDB" w14:textId="07330224" w:rsidR="004D6CCE" w:rsidRDefault="00414030">
                            <w:pPr>
                              <w:ind w:left="145" w:right="60" w:firstLine="47"/>
                              <w:jc w:val="both"/>
                              <w:textAlignment w:val="baseline"/>
                              <w:rPr>
                                <w:szCs w:val="24"/>
                                <w:lang w:eastAsia="lt-LT"/>
                              </w:rPr>
                            </w:pPr>
                            <w:r>
                              <w:rPr>
                                <w:szCs w:val="24"/>
                                <w:lang w:eastAsia="lt-LT"/>
                              </w:rPr>
                              <w:t>13.6.3. grupinio gyvenimo namams ir bendro gyvenimo namams priklausanti teritorija ir patalpos pritaikytos asmens individualiem</w:t>
                            </w:r>
                            <w:r>
                              <w:rPr>
                                <w:szCs w:val="24"/>
                                <w:lang w:eastAsia="lt-LT"/>
                              </w:rPr>
                              <w:t>s poreikiams;</w:t>
                            </w:r>
                          </w:p>
                          <w:p w14:paraId="383826FD" w14:textId="77777777" w:rsidR="004D6CCE" w:rsidRDefault="00414030">
                            <w:pPr>
                              <w:ind w:left="145" w:right="60" w:firstLine="47"/>
                              <w:jc w:val="both"/>
                              <w:textAlignment w:val="baseline"/>
                              <w:rPr>
                                <w:szCs w:val="24"/>
                                <w:lang w:eastAsia="lt-LT"/>
                              </w:rPr>
                            </w:pPr>
                            <w:r>
                              <w:rPr>
                                <w:szCs w:val="24"/>
                                <w:lang w:eastAsia="lt-LT"/>
                              </w:rPr>
                              <w:t xml:space="preserve">13.6.4. socialinės globos įstaigose, kuriose paslaugas gauna asmenys su negalia, įskaitant ir Alzheimerio liga ar demencija sergančius asmenis, taikomos </w:t>
                            </w:r>
                            <w:proofErr w:type="spellStart"/>
                            <w:r>
                              <w:rPr>
                                <w:szCs w:val="24"/>
                                <w:lang w:eastAsia="lt-LT"/>
                              </w:rPr>
                              <w:t>augmentinės</w:t>
                            </w:r>
                            <w:proofErr w:type="spellEnd"/>
                            <w:r>
                              <w:rPr>
                                <w:szCs w:val="24"/>
                                <w:lang w:eastAsia="lt-LT"/>
                              </w:rPr>
                              <w:t xml:space="preserve"> ar alternatyvios komunikacijos priemonės (pvz., kiemo zona, koridorius, patal</w:t>
                            </w:r>
                            <w:r>
                              <w:rPr>
                                <w:szCs w:val="24"/>
                                <w:lang w:eastAsia="lt-LT"/>
                              </w:rPr>
                              <w:t>pos pagal asmenų, nuolat naudojančių judėjimo techninės pagalbos priemonę – vežimėlį, akių lygį pažymėti neformaliais simboliais (daiktais, nuotraukomis, paveikslėliais, piešiniais) ir formaliais simboliais (</w:t>
                            </w:r>
                            <w:proofErr w:type="spellStart"/>
                            <w:r>
                              <w:rPr>
                                <w:szCs w:val="24"/>
                                <w:lang w:eastAsia="lt-LT"/>
                              </w:rPr>
                              <w:t>Bliss</w:t>
                            </w:r>
                            <w:proofErr w:type="spellEnd"/>
                            <w:r>
                              <w:rPr>
                                <w:szCs w:val="24"/>
                                <w:lang w:eastAsia="lt-LT"/>
                              </w:rPr>
                              <w:t xml:space="preserve">, </w:t>
                            </w:r>
                            <w:proofErr w:type="spellStart"/>
                            <w:r>
                              <w:rPr>
                                <w:szCs w:val="24"/>
                                <w:lang w:eastAsia="lt-LT"/>
                              </w:rPr>
                              <w:t>Mayer</w:t>
                            </w:r>
                            <w:proofErr w:type="spellEnd"/>
                            <w:r>
                              <w:rPr>
                                <w:szCs w:val="24"/>
                                <w:lang w:eastAsia="lt-LT"/>
                              </w:rPr>
                              <w:t>–</w:t>
                            </w:r>
                            <w:proofErr w:type="spellStart"/>
                            <w:r>
                              <w:rPr>
                                <w:szCs w:val="24"/>
                                <w:lang w:eastAsia="lt-LT"/>
                              </w:rPr>
                              <w:t>Johnson</w:t>
                            </w:r>
                            <w:proofErr w:type="spellEnd"/>
                            <w:r>
                              <w:rPr>
                                <w:szCs w:val="24"/>
                                <w:lang w:eastAsia="lt-LT"/>
                              </w:rPr>
                              <w:t>, piktogramomis ir kt.). Gru</w:t>
                            </w:r>
                            <w:r>
                              <w:rPr>
                                <w:szCs w:val="24"/>
                                <w:lang w:eastAsia="lt-LT"/>
                              </w:rPr>
                              <w:t>pinio gyvenimo namuose ir bendro gyvenimo namuose šiame papunktyje nurodytos priemonės taikomos atsižvelgiant į individualius asmens poreikius.</w:t>
                            </w:r>
                          </w:p>
                          <w:p w14:paraId="5D3C7700" w14:textId="77777777" w:rsidR="004D6CCE" w:rsidRDefault="00414030">
                            <w:pPr>
                              <w:ind w:left="145" w:right="60" w:firstLine="47"/>
                              <w:jc w:val="both"/>
                              <w:textAlignment w:val="baseline"/>
                              <w:rPr>
                                <w:szCs w:val="24"/>
                                <w:lang w:eastAsia="lt-LT"/>
                              </w:rPr>
                            </w:pPr>
                            <w:r>
                              <w:rPr>
                                <w:szCs w:val="24"/>
                                <w:lang w:eastAsia="lt-LT"/>
                              </w:rPr>
                              <w:t xml:space="preserve">13.7. </w:t>
                            </w:r>
                            <w:r>
                              <w:rPr>
                                <w:szCs w:val="24"/>
                              </w:rPr>
                              <w:t>S</w:t>
                            </w:r>
                            <w:r>
                              <w:rPr>
                                <w:szCs w:val="24"/>
                                <w:lang w:eastAsia="lt-LT"/>
                              </w:rPr>
                              <w:t>ocialinės globos namuose suaugusiems asmenims su negalia ir (ar) senyvo amžiaus asmenims,  stacionarinėse</w:t>
                            </w:r>
                            <w:r>
                              <w:rPr>
                                <w:szCs w:val="24"/>
                                <w:lang w:eastAsia="lt-LT"/>
                              </w:rPr>
                              <w:t xml:space="preserve"> ilgalaikės priežiūros įstaigose suaugusiems asmenims su negalia ir (ar) senyvo amžiaus asmenims,  specializuotuose slaugos ir socialinės globos namuose asmeniui užtikrinta galimybė greitai (neišeinant iš savo gyvenamojo kambario) išsikviesti personalą, je</w:t>
                            </w:r>
                            <w:r>
                              <w:rPr>
                                <w:szCs w:val="24"/>
                                <w:lang w:eastAsia="lt-LT"/>
                              </w:rPr>
                              <w:t>igu to prireiktų dėl jo sveikatos būklės.</w:t>
                            </w:r>
                          </w:p>
                          <w:p w14:paraId="73AE1297" w14:textId="77777777" w:rsidR="004D6CCE" w:rsidRDefault="00414030">
                            <w:pPr>
                              <w:ind w:left="145" w:right="60" w:firstLine="47"/>
                              <w:jc w:val="both"/>
                              <w:textAlignment w:val="baseline"/>
                              <w:rPr>
                                <w:szCs w:val="24"/>
                                <w:lang w:eastAsia="lt-LT"/>
                              </w:rPr>
                            </w:pPr>
                            <w:r>
                              <w:rPr>
                                <w:szCs w:val="24"/>
                                <w:lang w:eastAsia="lt-LT"/>
                              </w:rPr>
                              <w:lastRenderedPageBreak/>
                              <w:t>13.8. Socialinės globos įstaigos patalpose, kuriose paslaugas gauna asmenys, kuriems dėl nuolatinio agresyvaus elgesio, kuriuo jie gali fiziškai sužaloti save ar kitus, reikalinga intensyvesnė nei įprastai personal</w:t>
                            </w:r>
                            <w:r>
                              <w:rPr>
                                <w:szCs w:val="24"/>
                                <w:lang w:eastAsia="lt-LT"/>
                              </w:rPr>
                              <w:t xml:space="preserve">o pagalba ir (ar) aplinkos pritaikymas: </w:t>
                            </w:r>
                          </w:p>
                          <w:p w14:paraId="780C11A7" w14:textId="77777777" w:rsidR="004D6CCE" w:rsidRDefault="00414030">
                            <w:pPr>
                              <w:ind w:left="145" w:right="60" w:firstLine="47"/>
                              <w:jc w:val="both"/>
                              <w:textAlignment w:val="baseline"/>
                              <w:rPr>
                                <w:szCs w:val="24"/>
                                <w:lang w:eastAsia="lt-LT"/>
                              </w:rPr>
                            </w:pPr>
                            <w:r>
                              <w:rPr>
                                <w:szCs w:val="24"/>
                                <w:lang w:eastAsia="lt-LT"/>
                              </w:rPr>
                              <w:t>13.8.1. užtikrinama, kad tiesiogiai su asmenimis, kuriems būdingas nuolatinis agresyvus elgesys, kuriuo jie gali fiziškai sužaloti save ar kitus, dirbantis personalas yra specialiai instruktuotas agresijos, konflikt</w:t>
                            </w:r>
                            <w:r>
                              <w:rPr>
                                <w:szCs w:val="24"/>
                                <w:lang w:eastAsia="lt-LT"/>
                              </w:rPr>
                              <w:t xml:space="preserve">ų valdymo, </w:t>
                            </w:r>
                            <w:proofErr w:type="spellStart"/>
                            <w:r>
                              <w:rPr>
                                <w:szCs w:val="24"/>
                                <w:lang w:eastAsia="lt-LT"/>
                              </w:rPr>
                              <w:t>deeskalacijos</w:t>
                            </w:r>
                            <w:proofErr w:type="spellEnd"/>
                            <w:r>
                              <w:rPr>
                                <w:szCs w:val="24"/>
                                <w:lang w:eastAsia="lt-LT"/>
                              </w:rPr>
                              <w:t xml:space="preserve">, elgesio korekcijos metodų taikymo srityje ir tobulina savo įgūdžius, kad galėtų užkirsti kelią agresyviam ar </w:t>
                            </w:r>
                            <w:proofErr w:type="spellStart"/>
                            <w:r>
                              <w:rPr>
                                <w:szCs w:val="24"/>
                                <w:lang w:eastAsia="lt-LT"/>
                              </w:rPr>
                              <w:t>saviagresyviam</w:t>
                            </w:r>
                            <w:proofErr w:type="spellEnd"/>
                            <w:r>
                              <w:rPr>
                                <w:szCs w:val="24"/>
                                <w:lang w:eastAsia="lt-LT"/>
                              </w:rPr>
                              <w:t xml:space="preserve"> elgesiui ir užtikrinti kitų socialinės globos įstaigos gyventojų saugumą; </w:t>
                            </w:r>
                          </w:p>
                          <w:p w14:paraId="020E3BF7" w14:textId="77777777" w:rsidR="004D6CCE" w:rsidRDefault="00414030">
                            <w:pPr>
                              <w:ind w:left="145" w:right="60" w:firstLine="47"/>
                              <w:jc w:val="both"/>
                              <w:textAlignment w:val="baseline"/>
                              <w:rPr>
                                <w:szCs w:val="24"/>
                                <w:lang w:eastAsia="lt-LT"/>
                              </w:rPr>
                            </w:pPr>
                            <w:r>
                              <w:rPr>
                                <w:szCs w:val="24"/>
                                <w:lang w:eastAsia="lt-LT"/>
                              </w:rPr>
                              <w:t>13.8.2. pirmiausia taikomi visi</w:t>
                            </w:r>
                            <w:r>
                              <w:rPr>
                                <w:szCs w:val="24"/>
                                <w:lang w:eastAsia="lt-LT"/>
                              </w:rPr>
                              <w:t xml:space="preserve"> asmens laisvės nesuvaržantys agresijos valdymo metodai, tokie kaip </w:t>
                            </w:r>
                            <w:proofErr w:type="spellStart"/>
                            <w:r>
                              <w:rPr>
                                <w:szCs w:val="24"/>
                                <w:lang w:eastAsia="lt-LT"/>
                              </w:rPr>
                              <w:t>deeskalacija</w:t>
                            </w:r>
                            <w:proofErr w:type="spellEnd"/>
                            <w:r>
                              <w:rPr>
                                <w:szCs w:val="24"/>
                                <w:lang w:eastAsia="lt-LT"/>
                              </w:rPr>
                              <w:t xml:space="preserve">, aplinkos dirgiklių pašalinimas, elgesio korekcija ir kt.; </w:t>
                            </w:r>
                          </w:p>
                          <w:p w14:paraId="771F35CA" w14:textId="77777777" w:rsidR="004D6CCE" w:rsidRDefault="00414030">
                            <w:pPr>
                              <w:ind w:left="145" w:right="60" w:firstLine="47"/>
                              <w:jc w:val="both"/>
                              <w:textAlignment w:val="baseline"/>
                              <w:rPr>
                                <w:szCs w:val="24"/>
                                <w:lang w:eastAsia="lt-LT"/>
                              </w:rPr>
                            </w:pPr>
                            <w:r>
                              <w:rPr>
                                <w:szCs w:val="24"/>
                                <w:lang w:eastAsia="lt-LT"/>
                              </w:rPr>
                              <w:t xml:space="preserve">13.8.3. užtikrinama tinkamai pritaikyta aplinka: </w:t>
                            </w:r>
                          </w:p>
                          <w:p w14:paraId="035F7608" w14:textId="20D3BFD5" w:rsidR="004D6CCE" w:rsidRDefault="00414030">
                            <w:pPr>
                              <w:ind w:left="145" w:right="60" w:firstLine="47"/>
                              <w:jc w:val="both"/>
                              <w:textAlignment w:val="baseline"/>
                              <w:rPr>
                                <w:szCs w:val="24"/>
                                <w:lang w:eastAsia="lt-LT"/>
                              </w:rPr>
                            </w:pPr>
                            <w:r>
                              <w:rPr>
                                <w:szCs w:val="24"/>
                                <w:lang w:eastAsia="lt-LT"/>
                              </w:rPr>
                              <w:t xml:space="preserve">13.8.3.1. langai yra su nedūžtančiais stiklais (grūdintasis stiklas ar stiklas su apsaugine plėvele, apsaugančia nuo dūžio, ar pan.), užraktais ir lango atvėrimo ribotuvais; </w:t>
                            </w:r>
                          </w:p>
                          <w:p w14:paraId="003FCDD4" w14:textId="19F13F32" w:rsidR="004D6CCE" w:rsidRDefault="00414030">
                            <w:pPr>
                              <w:ind w:left="145" w:right="60" w:firstLine="47"/>
                              <w:jc w:val="both"/>
                              <w:textAlignment w:val="baseline"/>
                              <w:rPr>
                                <w:szCs w:val="24"/>
                                <w:lang w:eastAsia="lt-LT"/>
                              </w:rPr>
                            </w:pPr>
                            <w:r>
                              <w:rPr>
                                <w:szCs w:val="24"/>
                                <w:lang w:eastAsia="lt-LT"/>
                              </w:rPr>
                              <w:t xml:space="preserve">13.8.3.2. patalpų sienos yra minkštos arba paminkštintos; </w:t>
                            </w:r>
                          </w:p>
                          <w:p w14:paraId="2AC7E4FB" w14:textId="77777777" w:rsidR="004D6CCE" w:rsidRDefault="00414030">
                            <w:pPr>
                              <w:ind w:left="145" w:right="60" w:firstLine="47"/>
                              <w:jc w:val="both"/>
                              <w:textAlignment w:val="baseline"/>
                              <w:rPr>
                                <w:szCs w:val="24"/>
                                <w:lang w:eastAsia="lt-LT"/>
                              </w:rPr>
                            </w:pPr>
                            <w:r>
                              <w:rPr>
                                <w:szCs w:val="24"/>
                                <w:lang w:eastAsia="lt-LT"/>
                              </w:rPr>
                              <w:t>13.8.3.3. patalpose es</w:t>
                            </w:r>
                            <w:r>
                              <w:rPr>
                                <w:szCs w:val="24"/>
                                <w:lang w:eastAsia="lt-LT"/>
                              </w:rPr>
                              <w:t xml:space="preserve">ančiuose balduose nėra dūžtančio stiklo durų, patalpose nėra daiktų, kuriais asmuo galėtų susižaloti ar sužaloti kitus asmenis; </w:t>
                            </w:r>
                          </w:p>
                          <w:p w14:paraId="51A8360B" w14:textId="6EF59313" w:rsidR="004D6CCE" w:rsidRDefault="00414030">
                            <w:pPr>
                              <w:ind w:left="145" w:right="60" w:firstLine="47"/>
                              <w:jc w:val="both"/>
                              <w:textAlignment w:val="baseline"/>
                              <w:rPr>
                                <w:szCs w:val="24"/>
                                <w:lang w:eastAsia="lt-LT"/>
                              </w:rPr>
                            </w:pPr>
                            <w:r>
                              <w:rPr>
                                <w:szCs w:val="24"/>
                                <w:lang w:eastAsia="lt-LT"/>
                              </w:rPr>
                              <w:t xml:space="preserve">13.8.3.4. patalpose yra pagalbos mygtukas arba personalas turi mobiliuosius pagalbos iškvietimo įrenginius, skirtus papildomam </w:t>
                            </w:r>
                            <w:r>
                              <w:rPr>
                                <w:szCs w:val="24"/>
                                <w:lang w:eastAsia="lt-LT"/>
                              </w:rPr>
                              <w:t xml:space="preserve">personalui išsikviesti, kad socialinės globos įstaigos nustatyta tvarka laikinai kūno jėga būtų sutramdytas agresijos priepuolio ištiktas asmuo, kol priepuolis pasibaigs, o agresijos ar </w:t>
                            </w:r>
                            <w:proofErr w:type="spellStart"/>
                            <w:r>
                              <w:rPr>
                                <w:szCs w:val="24"/>
                                <w:lang w:eastAsia="lt-LT"/>
                              </w:rPr>
                              <w:t>saviagresijos</w:t>
                            </w:r>
                            <w:proofErr w:type="spellEnd"/>
                            <w:r>
                              <w:rPr>
                                <w:szCs w:val="24"/>
                                <w:lang w:eastAsia="lt-LT"/>
                              </w:rPr>
                              <w:t xml:space="preserve"> priepuoliui užsitęsus ar stiprėjant, personalas, esant b</w:t>
                            </w:r>
                            <w:r>
                              <w:rPr>
                                <w:szCs w:val="24"/>
                                <w:lang w:eastAsia="lt-LT"/>
                              </w:rPr>
                              <w:t xml:space="preserve">ūtinybei, galėtų iškviesti greitąją medicinos pagalbą ir (arba) policiją. </w:t>
                            </w:r>
                          </w:p>
                          <w:p w14:paraId="3D2E2973" w14:textId="77777777" w:rsidR="004D6CCE" w:rsidRDefault="00414030">
                            <w:pPr>
                              <w:ind w:left="145" w:right="60" w:firstLine="47"/>
                              <w:jc w:val="both"/>
                              <w:textAlignment w:val="baseline"/>
                              <w:rPr>
                                <w:szCs w:val="24"/>
                                <w:lang w:eastAsia="lt-LT"/>
                              </w:rPr>
                            </w:pPr>
                            <w:r>
                              <w:rPr>
                                <w:szCs w:val="24"/>
                                <w:lang w:eastAsia="lt-LT"/>
                              </w:rPr>
                              <w:t xml:space="preserve">13.9. Socialinės globos įstaigos, kurioje gyvena Alzheimerio liga ar demencija sergantys asmenys, patalpos įrengtos pagal šiame papunktyje nustatytus reikalavimus: </w:t>
                            </w:r>
                          </w:p>
                          <w:p w14:paraId="2EF8F85F" w14:textId="77777777" w:rsidR="004D6CCE" w:rsidRDefault="00414030">
                            <w:pPr>
                              <w:ind w:left="145" w:right="60" w:firstLine="47"/>
                              <w:jc w:val="both"/>
                              <w:textAlignment w:val="baseline"/>
                              <w:rPr>
                                <w:szCs w:val="24"/>
                                <w:lang w:eastAsia="lt-LT"/>
                              </w:rPr>
                            </w:pPr>
                            <w:r>
                              <w:rPr>
                                <w:szCs w:val="24"/>
                                <w:lang w:eastAsia="lt-LT"/>
                              </w:rPr>
                              <w:t>13.9.1. ne daugi</w:t>
                            </w:r>
                            <w:r>
                              <w:rPr>
                                <w:szCs w:val="24"/>
                                <w:lang w:eastAsia="lt-LT"/>
                              </w:rPr>
                              <w:t xml:space="preserve">au kaip 3 patalpos yra vienodų neblizgių skiriamųjų spalvų, kad asmuo lengviau atpažintų patalpų paskirtį; </w:t>
                            </w:r>
                          </w:p>
                          <w:p w14:paraId="205D14F4" w14:textId="77777777" w:rsidR="004D6CCE" w:rsidRDefault="00414030">
                            <w:pPr>
                              <w:ind w:left="145" w:right="60" w:firstLine="47"/>
                              <w:jc w:val="both"/>
                              <w:textAlignment w:val="baseline"/>
                              <w:rPr>
                                <w:szCs w:val="24"/>
                                <w:lang w:eastAsia="lt-LT"/>
                              </w:rPr>
                            </w:pPr>
                            <w:r>
                              <w:rPr>
                                <w:szCs w:val="24"/>
                                <w:lang w:eastAsia="lt-LT"/>
                              </w:rPr>
                              <w:t xml:space="preserve">13.9.2. patalpų sienų ir grindų spalvos skiriasi, jų susidūrimo riba aiškiai matoma; </w:t>
                            </w:r>
                          </w:p>
                          <w:p w14:paraId="2DF99036" w14:textId="77777777" w:rsidR="004D6CCE" w:rsidRDefault="00414030">
                            <w:pPr>
                              <w:ind w:left="145" w:right="60" w:firstLine="47"/>
                              <w:jc w:val="both"/>
                              <w:textAlignment w:val="baseline"/>
                              <w:rPr>
                                <w:szCs w:val="24"/>
                                <w:lang w:eastAsia="lt-LT"/>
                              </w:rPr>
                            </w:pPr>
                            <w:r>
                              <w:rPr>
                                <w:szCs w:val="24"/>
                                <w:lang w:eastAsia="lt-LT"/>
                              </w:rPr>
                              <w:t>13.9.3. patalpų grindų danga neblizgi, neslidi, besiribojančių</w:t>
                            </w:r>
                            <w:r>
                              <w:rPr>
                                <w:szCs w:val="24"/>
                                <w:lang w:eastAsia="lt-LT"/>
                              </w:rPr>
                              <w:t xml:space="preserve"> patalpų grindų danga nekontrastiška; </w:t>
                            </w:r>
                          </w:p>
                          <w:p w14:paraId="5A1E2A9A" w14:textId="77777777" w:rsidR="004D6CCE" w:rsidRDefault="00414030">
                            <w:pPr>
                              <w:ind w:left="145" w:right="60" w:firstLine="47"/>
                              <w:jc w:val="both"/>
                              <w:textAlignment w:val="baseline"/>
                              <w:rPr>
                                <w:szCs w:val="24"/>
                                <w:lang w:eastAsia="lt-LT"/>
                              </w:rPr>
                            </w:pPr>
                            <w:r>
                              <w:rPr>
                                <w:szCs w:val="24"/>
                                <w:lang w:eastAsia="lt-LT"/>
                              </w:rPr>
                              <w:t xml:space="preserve">13.9.4. patalpose esantys baldai yra kontrastiškos sienoms ir grindims spalvos arba paryškintais kontūrais; </w:t>
                            </w:r>
                          </w:p>
                          <w:p w14:paraId="52553E9F" w14:textId="77777777" w:rsidR="004D6CCE" w:rsidRDefault="00414030">
                            <w:pPr>
                              <w:ind w:left="145" w:right="60" w:firstLine="47"/>
                              <w:jc w:val="both"/>
                              <w:textAlignment w:val="baseline"/>
                              <w:rPr>
                                <w:szCs w:val="24"/>
                                <w:lang w:eastAsia="lt-LT"/>
                              </w:rPr>
                            </w:pPr>
                            <w:r>
                              <w:rPr>
                                <w:szCs w:val="24"/>
                                <w:lang w:eastAsia="lt-LT"/>
                              </w:rPr>
                              <w:t xml:space="preserve">13.9.5. patalpose esančiuose balduose nėra dūžtančio stiklo durų, aštrūs baldų kampai paryškinti. </w:t>
                            </w:r>
                          </w:p>
                          <w:p w14:paraId="2B502A16" w14:textId="77777777" w:rsidR="004D6CCE" w:rsidRDefault="00414030">
                            <w:pPr>
                              <w:ind w:left="145" w:right="60" w:firstLine="47"/>
                              <w:jc w:val="both"/>
                              <w:textAlignment w:val="baseline"/>
                              <w:rPr>
                                <w:szCs w:val="24"/>
                                <w:lang w:eastAsia="lt-LT"/>
                              </w:rPr>
                            </w:pPr>
                            <w:r>
                              <w:rPr>
                                <w:szCs w:val="24"/>
                                <w:lang w:eastAsia="lt-LT"/>
                              </w:rPr>
                              <w:t xml:space="preserve">13.10. </w:t>
                            </w:r>
                            <w:r>
                              <w:rPr>
                                <w:szCs w:val="24"/>
                                <w:lang w:eastAsia="lt-LT"/>
                              </w:rPr>
                              <w:t>Socialinės globos namų, stacionarinių ilgalaikės priežiūros namų teritorija ir patalpos pritaikytos regos negalią turinčių asmenų poreikiams:</w:t>
                            </w:r>
                          </w:p>
                          <w:p w14:paraId="3D6B5D0B" w14:textId="346C8684" w:rsidR="004D6CCE" w:rsidRDefault="00414030">
                            <w:pPr>
                              <w:ind w:left="145" w:right="60" w:firstLine="47"/>
                              <w:jc w:val="both"/>
                              <w:textAlignment w:val="baseline"/>
                              <w:rPr>
                                <w:szCs w:val="24"/>
                                <w:lang w:eastAsia="lt-LT"/>
                              </w:rPr>
                            </w:pPr>
                            <w:r>
                              <w:rPr>
                                <w:szCs w:val="24"/>
                                <w:lang w:eastAsia="lt-LT"/>
                              </w:rPr>
                              <w:t>13.10.1. įstaigai priklausančioje teritorijoje ir patalpose esančių laiptų bent pirmos ir paskutinės pakopų krašta</w:t>
                            </w:r>
                            <w:r>
                              <w:rPr>
                                <w:szCs w:val="24"/>
                                <w:lang w:eastAsia="lt-LT"/>
                              </w:rPr>
                              <w:t xml:space="preserve">i per visą jų plotį pažymėti kontrastinga juosta. Jei laiptus sudaro iki 3 pakopų, pažymėti visų pakopų kraštai, laiptų turėklai išsiskiria iš aplinkos, prireikus iš abiejų laiptų pusių yra </w:t>
                            </w:r>
                            <w:proofErr w:type="spellStart"/>
                            <w:r>
                              <w:rPr>
                                <w:szCs w:val="24"/>
                                <w:lang w:eastAsia="lt-LT"/>
                              </w:rPr>
                              <w:t>taktiliniai</w:t>
                            </w:r>
                            <w:proofErr w:type="spellEnd"/>
                            <w:r>
                              <w:rPr>
                                <w:szCs w:val="24"/>
                                <w:lang w:eastAsia="lt-LT"/>
                              </w:rPr>
                              <w:t xml:space="preserve"> įspėjamieji indikatorių paviršiai;</w:t>
                            </w:r>
                          </w:p>
                          <w:p w14:paraId="5ADD3AAC" w14:textId="77777777" w:rsidR="004D6CCE" w:rsidRDefault="00414030">
                            <w:pPr>
                              <w:ind w:left="145" w:right="60" w:firstLine="47"/>
                              <w:jc w:val="both"/>
                              <w:textAlignment w:val="baseline"/>
                              <w:rPr>
                                <w:szCs w:val="24"/>
                                <w:lang w:eastAsia="lt-LT"/>
                              </w:rPr>
                            </w:pPr>
                            <w:r>
                              <w:rPr>
                                <w:szCs w:val="24"/>
                                <w:lang w:eastAsia="lt-LT"/>
                              </w:rPr>
                              <w:t>13.10.2. durys su d</w:t>
                            </w:r>
                            <w:r>
                              <w:rPr>
                                <w:szCs w:val="24"/>
                                <w:lang w:eastAsia="lt-LT"/>
                              </w:rPr>
                              <w:t>urų rankena ir durys su pastato ar patalpos siena tarpusavyje kontrastuoja. Jei durys yra ilgoje vienos spalvos plastikinės pertvaros ar sienos konstrukcijoje, jos yra skirtingų spalvų (iš abiejų pusių), kad aiškiai matytųsi, kur konkrečiai yra įėjimas į p</w:t>
                            </w:r>
                            <w:r>
                              <w:rPr>
                                <w:szCs w:val="24"/>
                                <w:lang w:eastAsia="lt-LT"/>
                              </w:rPr>
                              <w:t>astatą ar patalpą;</w:t>
                            </w:r>
                          </w:p>
                          <w:p w14:paraId="7420C3DB" w14:textId="0F4351A5" w:rsidR="004D6CCE" w:rsidRDefault="00414030">
                            <w:pPr>
                              <w:ind w:left="145" w:right="60" w:firstLine="47"/>
                              <w:jc w:val="both"/>
                              <w:textAlignment w:val="baseline"/>
                              <w:rPr>
                                <w:szCs w:val="24"/>
                                <w:lang w:eastAsia="lt-LT"/>
                              </w:rPr>
                            </w:pPr>
                            <w:r>
                              <w:rPr>
                                <w:szCs w:val="24"/>
                                <w:lang w:eastAsia="lt-LT"/>
                              </w:rPr>
                              <w:t>13.10.3. jei įstaigos ar jos patalpų įėjimo durys turi stiklą per visą jų aukštį, jis pažymėtas kontrastinga juosta (iš abiejų pusių). Jei durys turi stiklą ne per visą jų aukštį, bet stiklas sudaro didesnę durų dalį ir tarp durų ar durų</w:t>
                            </w:r>
                            <w:r>
                              <w:rPr>
                                <w:szCs w:val="24"/>
                                <w:lang w:eastAsia="lt-LT"/>
                              </w:rPr>
                              <w:t xml:space="preserve"> arba pertvaros konstrukcijos nėra pakankamo kontrasto, kad stiklas būtų matomas, jis pažymėtas iš abiejų pusių.“.“</w:t>
                            </w:r>
                          </w:p>
                        </w:tc>
                      </w:tr>
                    </w:tbl>
                    <w:p w14:paraId="7B9D3C52" w14:textId="7EDDF016" w:rsidR="004D6CCE" w:rsidRDefault="00414030">
                      <w:pPr>
                        <w:tabs>
                          <w:tab w:val="left" w:pos="9356"/>
                        </w:tabs>
                        <w:ind w:right="-1"/>
                        <w:rPr>
                          <w:szCs w:val="24"/>
                          <w:lang w:eastAsia="lt-LT"/>
                        </w:rPr>
                      </w:pPr>
                    </w:p>
                  </w:sdtContent>
                </w:sdt>
              </w:sdtContent>
            </w:sdt>
          </w:sdtContent>
        </w:sdt>
        <w:sdt>
          <w:sdtPr>
            <w:alias w:val="signatura"/>
            <w:tag w:val="part_18125c51592347c38bda1157248d7b01"/>
            <w:id w:val="-82836599"/>
            <w:lock w:val="sdtLocked"/>
          </w:sdtPr>
          <w:sdtEndPr/>
          <w:sdtContent>
            <w:p w14:paraId="0F9CD8F2" w14:textId="77777777" w:rsidR="00414030" w:rsidRDefault="00414030">
              <w:pPr>
                <w:tabs>
                  <w:tab w:val="left" w:pos="851"/>
                </w:tabs>
                <w:jc w:val="both"/>
              </w:pPr>
            </w:p>
            <w:p w14:paraId="421A90C5" w14:textId="77777777" w:rsidR="00414030" w:rsidRDefault="00414030">
              <w:pPr>
                <w:tabs>
                  <w:tab w:val="left" w:pos="851"/>
                </w:tabs>
                <w:jc w:val="both"/>
              </w:pPr>
            </w:p>
            <w:p w14:paraId="3A76F331" w14:textId="77777777" w:rsidR="00414030" w:rsidRDefault="00414030">
              <w:pPr>
                <w:tabs>
                  <w:tab w:val="left" w:pos="851"/>
                </w:tabs>
                <w:jc w:val="both"/>
              </w:pPr>
            </w:p>
            <w:p w14:paraId="62C58FB8" w14:textId="7B58D22B" w:rsidR="004D6CCE" w:rsidRDefault="00414030" w:rsidP="00414030">
              <w:pPr>
                <w:tabs>
                  <w:tab w:val="left" w:pos="851"/>
                  <w:tab w:val="left" w:pos="7513"/>
                </w:tabs>
                <w:jc w:val="both"/>
                <w:rPr>
                  <w:szCs w:val="24"/>
                  <w:lang w:eastAsia="lt-LT"/>
                </w:rPr>
              </w:pPr>
              <w:r>
                <w:rPr>
                  <w:szCs w:val="24"/>
                  <w:lang w:eastAsia="lt-LT"/>
                </w:rPr>
                <w:t xml:space="preserve">Socialinės apsaugos ir darbo ministrė  </w:t>
              </w:r>
              <w:r>
                <w:rPr>
                  <w:szCs w:val="24"/>
                  <w:lang w:eastAsia="lt-LT"/>
                </w:rPr>
                <w:tab/>
              </w:r>
              <w:bookmarkStart w:id="0" w:name="_GoBack"/>
              <w:bookmarkEnd w:id="0"/>
              <w:r>
                <w:rPr>
                  <w:szCs w:val="24"/>
                  <w:lang w:eastAsia="lt-LT"/>
                </w:rPr>
                <w:t xml:space="preserve"> </w:t>
              </w:r>
              <w:r>
                <w:rPr>
                  <w:szCs w:val="24"/>
                  <w:lang w:eastAsia="lt-LT"/>
                </w:rPr>
                <w:t xml:space="preserve"> Jūratė </w:t>
              </w:r>
              <w:proofErr w:type="spellStart"/>
              <w:r>
                <w:rPr>
                  <w:szCs w:val="24"/>
                  <w:lang w:eastAsia="lt-LT"/>
                </w:rPr>
                <w:t>Zailskienė</w:t>
              </w:r>
              <w:proofErr w:type="spellEnd"/>
            </w:p>
          </w:sdtContent>
        </w:sdt>
      </w:sdtContent>
    </w:sdt>
    <w:sectPr w:rsidR="004D6CCE">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B0F5C8" w14:textId="77777777" w:rsidR="004D6CCE" w:rsidRDefault="00414030">
      <w:pPr>
        <w:rPr>
          <w:rFonts w:ascii="TimesLT" w:hAnsi="TimesLT"/>
          <w:sz w:val="20"/>
          <w:lang w:val="en-GB"/>
        </w:rPr>
      </w:pPr>
      <w:r>
        <w:rPr>
          <w:rFonts w:ascii="TimesLT" w:hAnsi="TimesLT"/>
          <w:sz w:val="20"/>
          <w:lang w:val="en-GB"/>
        </w:rPr>
        <w:separator/>
      </w:r>
    </w:p>
  </w:endnote>
  <w:endnote w:type="continuationSeparator" w:id="0">
    <w:p w14:paraId="10611B32" w14:textId="77777777" w:rsidR="004D6CCE" w:rsidRDefault="00414030">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B7822" w14:textId="77777777" w:rsidR="004D6CCE" w:rsidRDefault="004D6CCE">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4C1D5" w14:textId="77777777" w:rsidR="004D6CCE" w:rsidRDefault="004D6CCE">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3B068" w14:textId="77777777" w:rsidR="004D6CCE" w:rsidRDefault="004D6CCE">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4DFD31" w14:textId="77777777" w:rsidR="004D6CCE" w:rsidRDefault="00414030">
      <w:pPr>
        <w:rPr>
          <w:rFonts w:ascii="TimesLT" w:hAnsi="TimesLT"/>
          <w:sz w:val="20"/>
          <w:lang w:val="en-GB"/>
        </w:rPr>
      </w:pPr>
      <w:r>
        <w:rPr>
          <w:rFonts w:ascii="TimesLT" w:hAnsi="TimesLT"/>
          <w:sz w:val="20"/>
          <w:lang w:val="en-GB"/>
        </w:rPr>
        <w:separator/>
      </w:r>
    </w:p>
  </w:footnote>
  <w:footnote w:type="continuationSeparator" w:id="0">
    <w:p w14:paraId="699E4719" w14:textId="77777777" w:rsidR="004D6CCE" w:rsidRDefault="00414030">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7CFF8" w14:textId="0A10B941" w:rsidR="004D6CCE" w:rsidRDefault="00414030">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w:t>
    </w:r>
    <w:r>
      <w:rPr>
        <w:rFonts w:ascii="TimesLT" w:hAnsi="TimesLT"/>
        <w:sz w:val="20"/>
        <w:lang w:val="en-GB" w:eastAsia="x-none"/>
      </w:rPr>
      <w:fldChar w:fldCharType="end"/>
    </w:r>
  </w:p>
  <w:p w14:paraId="5C0228D9" w14:textId="77777777" w:rsidR="004D6CCE" w:rsidRDefault="004D6CCE">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DD660" w14:textId="678542D8" w:rsidR="004D6CCE" w:rsidRDefault="00414030">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p w14:paraId="2A861C95" w14:textId="77777777" w:rsidR="004D6CCE" w:rsidRDefault="004D6CCE">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E63407" w14:textId="77777777" w:rsidR="004D6CCE" w:rsidRDefault="004D6CC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414030"/>
    <w:rsid w:val="004D6C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46397"/>
  <w15:docId w15:val="{280DC945-9060-45AA-B9B8-B25A9898D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403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400180349">
      <w:bodyDiv w:val="1"/>
      <w:marLeft w:val="0"/>
      <w:marRight w:val="0"/>
      <w:marTop w:val="0"/>
      <w:marBottom w:val="0"/>
      <w:divBdr>
        <w:top w:val="none" w:sz="0" w:space="0" w:color="auto"/>
        <w:left w:val="none" w:sz="0" w:space="0" w:color="auto"/>
        <w:bottom w:val="none" w:sz="0" w:space="0" w:color="auto"/>
        <w:right w:val="none" w:sz="0" w:space="0" w:color="auto"/>
      </w:divBdr>
    </w:div>
    <w:div w:id="539317143">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841821160">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503619729">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457453610">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1320957870">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F21A296-F525-4AC9-A99D-A0F898C05849}"/>
      </w:docPartPr>
      <w:docPartBody>
        <w:p w:rsidR="00000000" w:rsidRDefault="00800967">
          <w:r w:rsidRPr="005C56F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967"/>
    <w:rsid w:val="008009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096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75e3d1c1a9a4d1d8df35ca1b30fb438" PartId="2f8e52215393496aa5e639b51d114887">
    <Part Type="pastraipa" DocPartId="488c57e2de894d66a6f65eb99af02489" PartId="efd3afd3ab9e4f208bebf0d43d2b18e5">
      <Part Type="citata" DocPartId="0e711d6d2961489bbb5b34b81f92abbb" PartId="6888cc1ed1ed4c71adac641582cf3598">
        <Part Type="papunktis" Nr="2.7" Abbr="2.7 pp." DocPartId="3ada53b3bdd14fa0b9605e4a440132a9" PartId="6ebeeacf8aa4451881a1b8770fe6db10"/>
      </Part>
    </Part>
    <Part Type="signatura" DocPartId="bd4310addf024fdd933ba69b9a1b4d6e" PartId="18125c51592347c38bda1157248d7b0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72C880-C5CD-4321-9AF4-AE57BEF493D0}">
  <ds:schemaRefs>
    <ds:schemaRef ds:uri="http://lrs.lt/TAIS/DocParts"/>
  </ds:schemaRefs>
</ds:datastoreItem>
</file>

<file path=customXml/itemProps2.xml><?xml version="1.0" encoding="utf-8"?>
<ds:datastoreItem xmlns:ds="http://schemas.openxmlformats.org/officeDocument/2006/customXml" ds:itemID="{46ACC98D-C267-4539-94D0-C4CBC4FAB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5570</Words>
  <Characters>3175</Characters>
  <Application>Microsoft Office Word</Application>
  <DocSecurity>0</DocSecurity>
  <Lines>26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8728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3</cp:revision>
  <cp:lastPrinted>2019-10-29T07:25:00Z</cp:lastPrinted>
  <dcterms:created xsi:type="dcterms:W3CDTF">2025-12-10T08:19:00Z</dcterms:created>
  <dcterms:modified xsi:type="dcterms:W3CDTF">2025-12-10T09:38:00Z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