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 w:val="22"/>
          <w:szCs w:val="22"/>
          <w:lang w:val="en-GB"/>
        </w:rPr>
        <w:alias w:val="pagrindine"/>
        <w:tag w:val="part_c56bd9cfd1d34d5faf46b75c5c67b702"/>
        <w:id w:val="-1672097486"/>
        <w:lock w:val="sdtLocked"/>
        <w:placeholder>
          <w:docPart w:val="DefaultPlaceholder_-1854013440"/>
        </w:placeholder>
      </w:sdtPr>
      <w:sdtEndPr>
        <w:rPr>
          <w:sz w:val="24"/>
          <w:szCs w:val="20"/>
          <w:lang w:val="lt-LT"/>
        </w:rPr>
      </w:sdtEndPr>
      <w:sdtContent>
        <w:p w:rsidR="00E03843" w:rsidRDefault="00E03843">
          <w:pPr>
            <w:tabs>
              <w:tab w:val="center" w:pos="4513"/>
              <w:tab w:val="right" w:pos="9026"/>
            </w:tabs>
            <w:rPr>
              <w:sz w:val="22"/>
              <w:szCs w:val="22"/>
              <w:lang w:val="en-GB"/>
            </w:rPr>
          </w:pPr>
        </w:p>
        <w:p w:rsidR="00E03843" w:rsidRDefault="000F13D2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557DA6EE" wp14:editId="5079ECD3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/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E03843" w:rsidRDefault="00E03843">
          <w:pPr>
            <w:rPr>
              <w:sz w:val="2"/>
              <w:szCs w:val="2"/>
            </w:rPr>
          </w:pPr>
        </w:p>
        <w:p w:rsidR="00E03843" w:rsidRDefault="00E03843" w:rsidP="000F13D2">
          <w:pPr>
            <w:jc w:val="center"/>
            <w:rPr>
              <w:b/>
              <w:bCs/>
              <w:szCs w:val="24"/>
            </w:rPr>
          </w:pPr>
        </w:p>
        <w:p w:rsidR="00E03843" w:rsidRDefault="00E03843" w:rsidP="000F13D2">
          <w:pPr>
            <w:jc w:val="center"/>
            <w:rPr>
              <w:sz w:val="2"/>
              <w:szCs w:val="2"/>
            </w:rPr>
          </w:pPr>
        </w:p>
        <w:p w:rsidR="00E03843" w:rsidRDefault="000F13D2" w:rsidP="000F13D2">
          <w:pPr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:rsidR="00E03843" w:rsidRDefault="00E03843" w:rsidP="000F13D2">
          <w:pPr>
            <w:jc w:val="center"/>
            <w:rPr>
              <w:sz w:val="2"/>
              <w:szCs w:val="2"/>
            </w:rPr>
          </w:pPr>
        </w:p>
        <w:p w:rsidR="00E03843" w:rsidRDefault="00E03843" w:rsidP="000F13D2">
          <w:pPr>
            <w:overflowPunct w:val="0"/>
            <w:jc w:val="center"/>
            <w:textAlignment w:val="baseline"/>
            <w:rPr>
              <w:szCs w:val="24"/>
            </w:rPr>
          </w:pPr>
        </w:p>
        <w:p w:rsidR="00E03843" w:rsidRDefault="00E03843" w:rsidP="000F13D2">
          <w:pPr>
            <w:jc w:val="center"/>
            <w:rPr>
              <w:sz w:val="2"/>
              <w:szCs w:val="2"/>
            </w:rPr>
          </w:pPr>
        </w:p>
        <w:p w:rsidR="00E03843" w:rsidRDefault="000F13D2" w:rsidP="000F13D2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E03843" w:rsidRDefault="00E03843" w:rsidP="000F13D2">
          <w:pPr>
            <w:jc w:val="center"/>
            <w:rPr>
              <w:sz w:val="2"/>
              <w:szCs w:val="2"/>
            </w:rPr>
          </w:pPr>
        </w:p>
        <w:p w:rsidR="000F13D2" w:rsidRDefault="000F13D2" w:rsidP="000F13D2">
          <w:pPr>
            <w:suppressAutoHyphens/>
            <w:jc w:val="center"/>
            <w:rPr>
              <w:b/>
              <w:bCs/>
              <w:szCs w:val="24"/>
              <w:shd w:val="clear" w:color="auto" w:fill="FFFFFF"/>
            </w:rPr>
          </w:pPr>
          <w:r>
            <w:rPr>
              <w:b/>
              <w:bCs/>
              <w:szCs w:val="24"/>
              <w:shd w:val="clear" w:color="auto" w:fill="FFFFFF"/>
            </w:rPr>
            <w:t>DĖL ŠVIETIMO, MOKSLO IR SPORTO MINISTRO 2022 M. RUGPJŪČIO 17 D. ĮSAKYMO NR. V-1250 „DĖL 2022–2030 M. PLĖTROS PROGRAMOS VALDYTOJOS LIETUVOS RESPUBLIKOS ŠVIETIMO, MOKSLO IR SPORTO MINISTERIJOS MOKSLO PLĖTROS PROGRAMOS PAŽANGOS PRIEMONĖS NR. 12-001-01-02-01 „</w:t>
          </w:r>
          <w:r>
            <w:rPr>
              <w:b/>
              <w:bCs/>
            </w:rPr>
            <w:t>STIPRINTI INOVACIJŲ EKOSISTEMAS MOKSLO CENTRUOSE</w:t>
          </w:r>
          <w:r>
            <w:rPr>
              <w:b/>
              <w:bCs/>
              <w:szCs w:val="24"/>
              <w:shd w:val="clear" w:color="auto" w:fill="FFFFFF"/>
            </w:rPr>
            <w:t>“ APRAŠO PATVIRTINIMO“ PAKEITIMO</w:t>
          </w:r>
        </w:p>
        <w:p w:rsidR="00E03843" w:rsidRDefault="00E03843" w:rsidP="000F13D2">
          <w:pPr>
            <w:overflowPunct w:val="0"/>
            <w:jc w:val="center"/>
            <w:textAlignment w:val="baseline"/>
            <w:rPr>
              <w:szCs w:val="24"/>
            </w:rPr>
          </w:pPr>
        </w:p>
        <w:p w:rsidR="00E03843" w:rsidRDefault="00E03843" w:rsidP="000F13D2">
          <w:pPr>
            <w:jc w:val="center"/>
            <w:rPr>
              <w:sz w:val="2"/>
              <w:szCs w:val="2"/>
            </w:rPr>
          </w:pPr>
        </w:p>
        <w:p w:rsidR="000F13D2" w:rsidRPr="000F13D2" w:rsidRDefault="000F13D2" w:rsidP="000F13D2">
          <w:pPr>
            <w:keepNext/>
            <w:tabs>
              <w:tab w:val="left" w:pos="5035"/>
            </w:tabs>
            <w:overflowPunct w:val="0"/>
            <w:jc w:val="center"/>
            <w:textAlignment w:val="baseline"/>
            <w:outlineLvl w:val="2"/>
            <w:rPr>
              <w:szCs w:val="24"/>
              <w:lang w:eastAsia="lt-LT"/>
            </w:rPr>
          </w:pPr>
          <w:r>
            <w:rPr>
              <w:szCs w:val="24"/>
            </w:rPr>
            <w:t xml:space="preserve">2023 m. rugsėjo 5 d. Nr. </w:t>
          </w:r>
          <w:r w:rsidRPr="000F13D2">
            <w:rPr>
              <w:szCs w:val="24"/>
              <w:lang w:eastAsia="lt-LT"/>
            </w:rPr>
            <w:t>V-1144</w:t>
          </w:r>
        </w:p>
        <w:p w:rsidR="000F13D2" w:rsidRDefault="000F13D2" w:rsidP="000F13D2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:rsidR="000F13D2" w:rsidRDefault="000F13D2" w:rsidP="000F13D2">
          <w:pPr>
            <w:jc w:val="center"/>
            <w:rPr>
              <w:sz w:val="2"/>
              <w:szCs w:val="2"/>
            </w:rPr>
          </w:pPr>
        </w:p>
        <w:p w:rsidR="000F13D2" w:rsidRDefault="000F13D2" w:rsidP="000F13D2">
          <w:pPr>
            <w:overflowPunct w:val="0"/>
            <w:jc w:val="center"/>
            <w:textAlignment w:val="baseline"/>
            <w:rPr>
              <w:szCs w:val="24"/>
            </w:rPr>
          </w:pPr>
        </w:p>
        <w:p w:rsidR="00E03843" w:rsidRDefault="00E03843" w:rsidP="000F13D2">
          <w:pPr>
            <w:overflowPunct w:val="0"/>
            <w:jc w:val="center"/>
            <w:textAlignment w:val="baseline"/>
            <w:rPr>
              <w:color w:val="201F1E"/>
              <w:szCs w:val="24"/>
            </w:rPr>
          </w:pPr>
        </w:p>
        <w:sdt>
          <w:sdtPr>
            <w:rPr>
              <w:szCs w:val="24"/>
            </w:rPr>
            <w:alias w:val="pastraipa"/>
            <w:tag w:val="part_efb1ddcbcfe143cbb363f4ce9efa09db"/>
            <w:id w:val="108174463"/>
            <w:lock w:val="sdtLocked"/>
            <w:placeholder>
              <w:docPart w:val="DefaultPlaceholder_-1854013440"/>
            </w:placeholder>
          </w:sdtPr>
          <w:sdtContent>
            <w:p w:rsidR="00E03843" w:rsidRDefault="000F13D2" w:rsidP="000F13D2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m. plėtros programos valdytojos Lietuvos Respublikos švietimo, mokslo ir sporto ministerijos mokslo plėtros programos pažangos priemonės Nr. 12-001-01-02-01 „Stiprinti inovacijų ekosistemas mokslo centruose“ aprašą, patvirtintą Lietuvos Respublikos švietimo, mokslo ir sporto ministro 2022 m. rugpjūčio 17 d. įsakymu Nr. V-1250 „Dėl 2022–2030 m. plėtros programos valdytojos Lietuvos Respublikos švietimo, mokslo ir sporto ministerijos mokslo plėtros programos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pažangos priemonės Nr. 12-001-01-02-01 „Stiprinti inovacijų ekosistemas mokslo centruose“</w:t>
              </w:r>
              <w:r>
                <w:rPr>
                  <w:i/>
                  <w:szCs w:val="24"/>
                </w:rPr>
                <w:t xml:space="preserve"> </w:t>
              </w:r>
              <w:r>
                <w:rPr>
                  <w:szCs w:val="24"/>
                </w:rPr>
                <w:t>aprašo patvirtinimo“:</w:t>
              </w:r>
            </w:p>
          </w:sdtContent>
        </w:sdt>
        <w:sdt>
          <w:sdtPr>
            <w:alias w:val="1 p."/>
            <w:tag w:val="part_67b9e09145214f5f8be31d42d2420b19"/>
            <w:id w:val="1982033652"/>
            <w:lock w:val="sdtLocked"/>
            <w:placeholder>
              <w:docPart w:val="DefaultPlaceholder_-1854013440"/>
            </w:placeholder>
          </w:sdtPr>
          <w:sdtContent>
            <w:p w:rsidR="00E03843" w:rsidRDefault="00111958" w:rsidP="000F13D2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7b9e09145214f5f8be31d42d2420b19"/>
                  <w:id w:val="1191878406"/>
                  <w:lock w:val="sdtLocked"/>
                </w:sdtPr>
                <w:sdtEndPr/>
                <w:sdtContent>
                  <w:r w:rsidR="000F13D2">
                    <w:rPr>
                      <w:szCs w:val="24"/>
                    </w:rPr>
                    <w:t>1</w:t>
                  </w:r>
                </w:sdtContent>
              </w:sdt>
              <w:r w:rsidR="000F13D2">
                <w:rPr>
                  <w:szCs w:val="24"/>
                </w:rPr>
                <w:t>. Pakeičiu 6 priedą:</w:t>
              </w:r>
            </w:p>
            <w:sdt>
              <w:sdtPr>
                <w:alias w:val="1.1 pp."/>
                <w:tag w:val="part_aede4eba489f4dada44ce4791235bfe2"/>
                <w:id w:val="110714533"/>
                <w:lock w:val="sdtLocked"/>
              </w:sdtPr>
              <w:sdtEndPr/>
              <w:sdtContent>
                <w:p w:rsidR="00E03843" w:rsidRDefault="00111958" w:rsidP="000F13D2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ede4eba489f4dada44ce4791235bfe2"/>
                      <w:id w:val="395253030"/>
                      <w:lock w:val="sdtLocked"/>
                    </w:sdtPr>
                    <w:sdtEndPr/>
                    <w:sdtContent>
                      <w:r w:rsidR="000F13D2">
                        <w:rPr>
                          <w:szCs w:val="24"/>
                        </w:rPr>
                        <w:t>1.1</w:t>
                      </w:r>
                    </w:sdtContent>
                  </w:sdt>
                  <w:r w:rsidR="000F13D2">
                    <w:rPr>
                      <w:szCs w:val="24"/>
                    </w:rPr>
                    <w:t>. Pakeičiu 2.1.1 papunktį ir jį išdėstau taip:</w:t>
                  </w:r>
                </w:p>
                <w:sdt>
                  <w:sdtPr>
                    <w:alias w:val="citata"/>
                    <w:tag w:val="part_7d5076a044024f1ca37c14f753928ec5"/>
                    <w:id w:val="2062055191"/>
                    <w:lock w:val="sdtLocked"/>
                  </w:sdtPr>
                  <w:sdtEndPr/>
                  <w:sdtContent>
                    <w:sdt>
                      <w:sdtPr>
                        <w:alias w:val="2.1.1 pp."/>
                        <w:tag w:val="part_ce21498371134a8bb7a406b4a72b4b8e"/>
                        <w:id w:val="-1686131381"/>
                        <w:lock w:val="sdtLocked"/>
                      </w:sdtPr>
                      <w:sdtEndPr/>
                      <w:sdtContent>
                        <w:p w:rsidR="00E03843" w:rsidRDefault="000F13D2" w:rsidP="000F13D2">
                          <w:pPr>
                            <w:ind w:firstLine="851"/>
                            <w:jc w:val="both"/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e21498371134a8bb7a406b4a72b4b8e"/>
                              <w:id w:val="-1794050708"/>
                              <w:lock w:val="sdtLocked"/>
                            </w:sdtPr>
                            <w:sdtEndPr/>
                            <w:sdtContent>
                              <w:r>
                                <w:t>2.1.1</w:t>
                              </w:r>
                            </w:sdtContent>
                          </w:sdt>
                          <w:r>
                            <w:t>. mokslo ir studijų institucijos, įtrauktos į Atviros informavimo konsultavimo orientavimo sistemos registrą (toliau – MSI), – veikloms, numatytoms Aprašo 2.6.2 ir 2.6.3 papunkčiuose;“.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410dfdba5fed421393e8cd7a76f00cdc"/>
                <w:id w:val="-1434963930"/>
                <w:lock w:val="sdtLocked"/>
              </w:sdtPr>
              <w:sdtEndPr/>
              <w:sdtContent>
                <w:p w:rsidR="00E03843" w:rsidRDefault="00111958" w:rsidP="000F13D2">
                  <w:pPr>
                    <w:tabs>
                      <w:tab w:val="left" w:pos="1418"/>
                      <w:tab w:val="left" w:pos="1560"/>
                    </w:tabs>
                    <w:ind w:firstLine="851"/>
                    <w:jc w:val="both"/>
                  </w:pPr>
                  <w:sdt>
                    <w:sdtPr>
                      <w:alias w:val="Numeris"/>
                      <w:tag w:val="nr_410dfdba5fed421393e8cd7a76f00cdc"/>
                      <w:id w:val="909582954"/>
                      <w:lock w:val="sdtLocked"/>
                    </w:sdtPr>
                    <w:sdtEndPr/>
                    <w:sdtContent>
                      <w:r w:rsidR="000F13D2">
                        <w:t>1.2</w:t>
                      </w:r>
                    </w:sdtContent>
                  </w:sdt>
                  <w:r w:rsidR="000F13D2">
                    <w:t>. Pakeičiu 2.5.2 papunktį ir jį išdėstau taip:</w:t>
                  </w:r>
                </w:p>
                <w:sdt>
                  <w:sdtPr>
                    <w:alias w:val="citata"/>
                    <w:tag w:val="part_d1d0daaf1484433684db73afa1d772aa"/>
                    <w:id w:val="-942843041"/>
                    <w:lock w:val="sdtLocked"/>
                  </w:sdtPr>
                  <w:sdtEndPr/>
                  <w:sdtContent>
                    <w:sdt>
                      <w:sdtPr>
                        <w:alias w:val="2.5.2 pp."/>
                        <w:tag w:val="part_a537ae247c6743f897d3b2ca6304513c"/>
                        <w:id w:val="10041098"/>
                        <w:lock w:val="sdtLocked"/>
                      </w:sdtPr>
                      <w:sdtEndPr/>
                      <w:sdtContent>
                        <w:p w:rsidR="00E03843" w:rsidRDefault="000F13D2" w:rsidP="000F13D2">
                          <w:pPr>
                            <w:ind w:firstLine="851"/>
                            <w:jc w:val="both"/>
                            <w:rPr>
                              <w:iCs/>
                              <w:szCs w:val="24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a537ae247c6743f897d3b2ca6304513c"/>
                              <w:id w:val="-16492826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iCs/>
                                  <w:szCs w:val="24"/>
                                </w:rPr>
                                <w:t>2.5.2</w:t>
                              </w:r>
                            </w:sdtContent>
                          </w:sdt>
                          <w:r>
                            <w:rPr>
                              <w:iCs/>
                              <w:szCs w:val="24"/>
                            </w:rPr>
                            <w:t>. Aprašo 2.6.2 ir 2.6.3 papunkčiuose nurodytų veiklų projektams įgyvendinti numatoma skirti iki 9 500 000 Eur (devynių milijonų penkių šimtų tūkstančių eurų) EGADP lėšų.“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d485096e808a4e84bc1508e9f996cc80"/>
                <w:id w:val="-1530481968"/>
                <w:lock w:val="sdtLocked"/>
              </w:sdtPr>
              <w:sdtEndPr/>
              <w:sdtContent>
                <w:p w:rsidR="00E03843" w:rsidRDefault="00111958" w:rsidP="000F13D2">
                  <w:pPr>
                    <w:ind w:firstLine="851"/>
                    <w:jc w:val="both"/>
                    <w:rPr>
                      <w:iCs/>
                      <w:szCs w:val="24"/>
                    </w:rPr>
                  </w:pPr>
                  <w:sdt>
                    <w:sdtPr>
                      <w:alias w:val="Numeris"/>
                      <w:tag w:val="nr_d485096e808a4e84bc1508e9f996cc80"/>
                      <w:id w:val="-2131004207"/>
                      <w:lock w:val="sdtLocked"/>
                    </w:sdtPr>
                    <w:sdtEndPr/>
                    <w:sdtContent>
                      <w:r w:rsidR="000F13D2">
                        <w:rPr>
                          <w:iCs/>
                          <w:szCs w:val="24"/>
                        </w:rPr>
                        <w:t>1.3</w:t>
                      </w:r>
                    </w:sdtContent>
                  </w:sdt>
                  <w:r w:rsidR="000F13D2">
                    <w:rPr>
                      <w:iCs/>
                      <w:szCs w:val="24"/>
                    </w:rPr>
                    <w:t>.</w:t>
                  </w:r>
                  <w:r w:rsidR="000F13D2">
                    <w:rPr>
                      <w:iCs/>
                      <w:szCs w:val="24"/>
                    </w:rPr>
                    <w:tab/>
                    <w:t>Papildau 2.6.3 papunkčiu:</w:t>
                  </w:r>
                </w:p>
                <w:sdt>
                  <w:sdtPr>
                    <w:alias w:val="citata"/>
                    <w:tag w:val="part_b201126bc0164df598c8250959d7a9a8"/>
                    <w:id w:val="922602263"/>
                    <w:lock w:val="sdtLocked"/>
                  </w:sdtPr>
                  <w:sdtEndPr/>
                  <w:sdtContent>
                    <w:sdt>
                      <w:sdtPr>
                        <w:alias w:val="2.6.3 pp."/>
                        <w:tag w:val="part_22f0cd135c484e9e83ce9e0addf4333a"/>
                        <w:id w:val="-1093161314"/>
                        <w:lock w:val="sdtLocked"/>
                      </w:sdtPr>
                      <w:sdtEndPr/>
                      <w:sdtContent>
                        <w:p w:rsidR="00E03843" w:rsidRDefault="000F13D2">
                          <w:pPr>
                            <w:ind w:firstLine="851"/>
                            <w:jc w:val="both"/>
                          </w:pPr>
                          <w:r>
                            <w:rPr>
                              <w:i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2f0cd135c484e9e83ce9e0addf4333a"/>
                              <w:id w:val="-6840461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2.6.3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t xml:space="preserve">programos „Europos horizontas“ Europos mokslinių tyrimų tarybos (angl. </w:t>
                          </w:r>
                          <w:r>
                            <w:rPr>
                              <w:i/>
                              <w:iCs/>
                            </w:rPr>
                            <w:t>European Research Council, ERC</w:t>
                          </w:r>
                          <w:r>
                            <w:t xml:space="preserve">) (toliau – EMTT) </w:t>
                          </w:r>
                          <w:r>
                            <w:rPr>
                              <w:szCs w:val="24"/>
                            </w:rPr>
                            <w:t xml:space="preserve">koncepcijos pagrindimo (angl. </w:t>
                          </w:r>
                          <w:r>
                            <w:rPr>
                              <w:i/>
                              <w:iCs/>
                              <w:szCs w:val="24"/>
                            </w:rPr>
                            <w:t>Proof of Concept</w:t>
                          </w:r>
                          <w:r>
                            <w:rPr>
                              <w:szCs w:val="24"/>
                            </w:rPr>
                            <w:t xml:space="preserve">) dotacijos projektai, </w:t>
                          </w:r>
                          <w:r>
                            <w:t xml:space="preserve">kuriems neskirtas EK finansavimas, bet suteiktas EK Kokybės ženklas (angl. </w:t>
                          </w:r>
                          <w:r>
                            <w:rPr>
                              <w:i/>
                              <w:iCs/>
                            </w:rPr>
                            <w:t>Seal of Excellence</w:t>
                          </w:r>
                          <w:r>
                            <w:t>).</w:t>
                          </w:r>
                          <w:r>
                            <w:rPr>
                              <w:szCs w:val="24"/>
                            </w:rPr>
                            <w:t xml:space="preserve"> EMTT darbo programos skelbiamos </w:t>
                          </w:r>
                          <w:r>
                            <w:t xml:space="preserve">EK finansavimo ir konkursų portale: 2022 m. darbo programa </w:t>
                          </w:r>
                          <w:r>
                            <w:rPr>
                              <w:color w:val="0563C1"/>
                              <w:u w:val="single"/>
                            </w:rPr>
                            <w:t>https://ec.europa.eu/info/funding-tenders/opportunities/docs/2021-2027/horizon/wp-call/2022/wp_horizon-erc-2022_en.pdf</w:t>
                          </w:r>
                          <w:r>
                            <w:t xml:space="preserve">; 2023 metų darbo programa </w:t>
                          </w:r>
                          <w:r>
                            <w:rPr>
                              <w:color w:val="0563C1"/>
                              <w:u w:val="single"/>
                            </w:rPr>
                            <w:t>https://ec.europa.eu/info/funding-tenders/opportunities/docs/2021-2027/horizon/wp-call/2023/wp_horizon-erc-2023_en.pdf</w:t>
                          </w:r>
                          <w:r>
                            <w:t xml:space="preserve">; 2024 m. darbo programa </w:t>
                          </w:r>
                          <w:r>
                            <w:rPr>
                              <w:color w:val="0563C1"/>
                              <w:u w:val="single"/>
                            </w:rPr>
                            <w:t>https://ec.europa.eu/info/funding-tenders/opportunities/docs/2021-2027/horizon/wp-call/2024/wp_horizon-erc-2024_en.pdf</w:t>
                          </w:r>
                          <w: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6ff6c3ffe1ab4235be2115ecbbf4693f"/>
                <w:id w:val="392473338"/>
                <w:lock w:val="sdtLocked"/>
              </w:sdtPr>
              <w:sdtEndPr/>
              <w:sdtContent>
                <w:p w:rsidR="00E03843" w:rsidRDefault="00111958" w:rsidP="000F13D2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ff6c3ffe1ab4235be2115ecbbf4693f"/>
                      <w:id w:val="1188479581"/>
                      <w:lock w:val="sdtLocked"/>
                    </w:sdtPr>
                    <w:sdtEndPr/>
                    <w:sdtContent>
                      <w:r w:rsidR="000F13D2">
                        <w:rPr>
                          <w:szCs w:val="24"/>
                        </w:rPr>
                        <w:t>1.4</w:t>
                      </w:r>
                    </w:sdtContent>
                  </w:sdt>
                  <w:r w:rsidR="000F13D2">
                    <w:rPr>
                      <w:szCs w:val="24"/>
                    </w:rPr>
                    <w:t xml:space="preserve">. Papildau </w:t>
                  </w:r>
                  <w:r w:rsidR="000F13D2">
                    <w:rPr>
                      <w:iCs/>
                      <w:szCs w:val="24"/>
                    </w:rPr>
                    <w:t>2.8</w:t>
                  </w:r>
                  <w:r w:rsidR="000F13D2">
                    <w:rPr>
                      <w:iCs/>
                      <w:szCs w:val="24"/>
                      <w:vertAlign w:val="superscript"/>
                    </w:rPr>
                    <w:t xml:space="preserve">1 </w:t>
                  </w:r>
                  <w:r w:rsidR="000F13D2">
                    <w:rPr>
                      <w:iCs/>
                      <w:szCs w:val="24"/>
                    </w:rPr>
                    <w:t>papunkčiu</w:t>
                  </w:r>
                  <w:r w:rsidR="000F13D2">
                    <w:rPr>
                      <w:szCs w:val="24"/>
                    </w:rPr>
                    <w:t>:</w:t>
                  </w:r>
                </w:p>
                <w:sdt>
                  <w:sdtPr>
                    <w:alias w:val="citata"/>
                    <w:tag w:val="part_f38b4c4d3c78495fa7d855b60c972e74"/>
                    <w:id w:val="662976088"/>
                    <w:lock w:val="sdtLocked"/>
                  </w:sdtPr>
                  <w:sdtEndPr/>
                  <w:sdtContent>
                    <w:sdt>
                      <w:sdtPr>
                        <w:alias w:val="2.8-1 pp."/>
                        <w:tag w:val="part_359b51409dff4685a442c57728348399"/>
                        <w:id w:val="1452201098"/>
                        <w:lock w:val="sdtLocked"/>
                      </w:sdtPr>
                      <w:sdtEndPr/>
                      <w:sdtContent>
                        <w:p w:rsidR="00E03843" w:rsidRDefault="000F13D2" w:rsidP="000F13D2">
                          <w:pPr>
                            <w:ind w:firstLine="851"/>
                            <w:jc w:val="both"/>
                          </w:pPr>
                          <w:r>
                            <w:rPr>
                              <w:i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59b51409dff4685a442c57728348399"/>
                              <w:id w:val="-11070468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iCs/>
                                  <w:szCs w:val="24"/>
                                </w:rPr>
                                <w:t>2.8</w:t>
                              </w:r>
                              <w:r>
                                <w:rPr>
                                  <w:iCs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iCs/>
                              <w:szCs w:val="24"/>
                            </w:rPr>
                            <w:t xml:space="preserve">. Didžiausia galima vienam projektui skirti finansavimo lėšų suma pagal veiklą, numatytą Aprašo 2.6.3 papunktyje, </w:t>
                          </w:r>
                          <w:r>
                            <w:t>–</w:t>
                          </w:r>
                          <w:r>
                            <w:rPr>
                              <w:iCs/>
                              <w:szCs w:val="24"/>
                            </w:rPr>
                            <w:t xml:space="preserve"> </w:t>
                          </w:r>
                          <w:r>
                            <w:t>150 000 Eur (vienas šimtas penkiasdešimt tūkstančių eurų).“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32fa0a7d1a46408ea76b705332601a49"/>
                <w:id w:val="-49539527"/>
                <w:lock w:val="sdtLocked"/>
              </w:sdtPr>
              <w:sdtEndPr/>
              <w:sdtContent>
                <w:p w:rsidR="00E03843" w:rsidRDefault="00111958" w:rsidP="000F13D2">
                  <w:pPr>
                    <w:ind w:firstLine="851"/>
                    <w:jc w:val="both"/>
                    <w:rPr>
                      <w:iCs/>
                      <w:szCs w:val="24"/>
                    </w:rPr>
                  </w:pPr>
                  <w:sdt>
                    <w:sdtPr>
                      <w:alias w:val="Numeris"/>
                      <w:tag w:val="nr_32fa0a7d1a46408ea76b705332601a49"/>
                      <w:id w:val="-1389188645"/>
                      <w:lock w:val="sdtLocked"/>
                    </w:sdtPr>
                    <w:sdtEndPr/>
                    <w:sdtContent>
                      <w:r w:rsidR="000F13D2">
                        <w:rPr>
                          <w:iCs/>
                          <w:szCs w:val="24"/>
                        </w:rPr>
                        <w:t>1.5</w:t>
                      </w:r>
                    </w:sdtContent>
                  </w:sdt>
                  <w:r w:rsidR="000F13D2">
                    <w:rPr>
                      <w:iCs/>
                      <w:szCs w:val="24"/>
                    </w:rPr>
                    <w:t>. Pakeičiu 2.14.2 papunktį ir jį išdėstau taip:</w:t>
                  </w:r>
                </w:p>
                <w:sdt>
                  <w:sdtPr>
                    <w:alias w:val="citata"/>
                    <w:tag w:val="part_d8b1ef243ca547a49525db928176f36b"/>
                    <w:id w:val="-352961964"/>
                    <w:lock w:val="sdtLocked"/>
                  </w:sdtPr>
                  <w:sdtEndPr/>
                  <w:sdtContent>
                    <w:sdt>
                      <w:sdtPr>
                        <w:alias w:val="2.14.2 pp."/>
                        <w:tag w:val="part_59124db75fc445aa955e8c0c30882e68"/>
                        <w:id w:val="-1684895883"/>
                        <w:lock w:val="sdtLocked"/>
                      </w:sdtPr>
                      <w:sdtEndPr/>
                      <w:sdtContent>
                        <w:p w:rsidR="00E03843" w:rsidRDefault="000F13D2" w:rsidP="000F13D2">
                          <w:pPr>
                            <w:ind w:firstLine="851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59124db75fc445aa955e8c0c30882e68"/>
                              <w:id w:val="-1749874252"/>
                              <w:lock w:val="sdtLocked"/>
                            </w:sdtPr>
                            <w:sdtEndPr/>
                            <w:sdtContent>
                              <w:r>
                                <w:t>2.14.2</w:t>
                              </w:r>
                            </w:sdtContent>
                          </w:sdt>
                          <w:r>
                            <w:t xml:space="preserve">. Kokybės ženklo (angl. </w:t>
                          </w:r>
                          <w:r>
                            <w:rPr>
                              <w:i/>
                              <w:iCs/>
                            </w:rPr>
                            <w:t>Seal of Excellence</w:t>
                          </w:r>
                          <w:r>
                            <w:t>) sertifikato kopija (taikoma, jei numatoma vykdyti Aprašo 2.6.1, 2.6.2.1 ir 2.6.3 papunkčiuose nurodytas veiklas);“.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d0b52d120ebc40669bfe4726c0a6f994"/>
                <w:id w:val="-1578429108"/>
                <w:lock w:val="sdtLocked"/>
              </w:sdtPr>
              <w:sdtEndPr/>
              <w:sdtContent>
                <w:p w:rsidR="00E03843" w:rsidRDefault="00111958" w:rsidP="000F13D2">
                  <w:pPr>
                    <w:ind w:firstLine="851"/>
                    <w:jc w:val="both"/>
                  </w:pPr>
                  <w:sdt>
                    <w:sdtPr>
                      <w:alias w:val="Numeris"/>
                      <w:tag w:val="nr_d0b52d120ebc40669bfe4726c0a6f994"/>
                      <w:id w:val="-580054229"/>
                      <w:lock w:val="sdtLocked"/>
                    </w:sdtPr>
                    <w:sdtEndPr/>
                    <w:sdtContent>
                      <w:r w:rsidR="000F13D2">
                        <w:t>1.6</w:t>
                      </w:r>
                    </w:sdtContent>
                  </w:sdt>
                  <w:r w:rsidR="000F13D2">
                    <w:t>. Pakeičiu 5.2.1 papunktį ir jį išdėstau taip:</w:t>
                  </w:r>
                </w:p>
                <w:sdt>
                  <w:sdtPr>
                    <w:alias w:val="citata"/>
                    <w:tag w:val="part_ef37bec24fe842e6afd643eaf25b0558"/>
                    <w:id w:val="827020840"/>
                    <w:lock w:val="sdtLocked"/>
                  </w:sdtPr>
                  <w:sdtEndPr/>
                  <w:sdtContent>
                    <w:sdt>
                      <w:sdtPr>
                        <w:alias w:val="5.2.1 pp."/>
                        <w:tag w:val="part_de9207b83925457488e28b54e0658400"/>
                        <w:id w:val="306057971"/>
                        <w:lock w:val="sdtLocked"/>
                      </w:sdtPr>
                      <w:sdtEndPr/>
                      <w:sdtContent>
                        <w:p w:rsidR="00E03843" w:rsidRDefault="000F13D2" w:rsidP="000F13D2">
                          <w:pPr>
                            <w:ind w:firstLine="851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de9207b83925457488e28b54e0658400"/>
                              <w:id w:val="-1215879527"/>
                              <w:lock w:val="sdtLocked"/>
                            </w:sdtPr>
                            <w:sdtEndPr/>
                            <w:sdtContent>
                              <w:r>
                                <w:t>5.2.1</w:t>
                              </w:r>
                            </w:sdtContent>
                          </w:sdt>
                          <w:r>
                            <w:t>. 25b straipsnį (kai vykdomos Aprašo 2.6.2.1 ir 2.6.3 papunkčiuose nurodytos veiklos);“.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64470fb3e7a14198a78beb0f3a8c0067"/>
                <w:id w:val="833113406"/>
                <w:lock w:val="sdtLocked"/>
              </w:sdtPr>
              <w:sdtEndPr/>
              <w:sdtContent>
                <w:p w:rsidR="00E03843" w:rsidRDefault="00111958" w:rsidP="000F13D2">
                  <w:pPr>
                    <w:ind w:firstLine="851"/>
                    <w:jc w:val="both"/>
                  </w:pPr>
                  <w:sdt>
                    <w:sdtPr>
                      <w:alias w:val="Numeris"/>
                      <w:tag w:val="nr_64470fb3e7a14198a78beb0f3a8c0067"/>
                      <w:id w:val="1387685186"/>
                      <w:lock w:val="sdtLocked"/>
                    </w:sdtPr>
                    <w:sdtEndPr/>
                    <w:sdtContent>
                      <w:r w:rsidR="000F13D2">
                        <w:t>1.7</w:t>
                      </w:r>
                    </w:sdtContent>
                  </w:sdt>
                  <w:r w:rsidR="000F13D2">
                    <w:t>. Pakeičiu 5.4 papunktį ir jį išdėstau taip:</w:t>
                  </w:r>
                </w:p>
                <w:sdt>
                  <w:sdtPr>
                    <w:alias w:val="citata"/>
                    <w:tag w:val="part_eecff6869b5d4ed99e23a83eb8973d2c"/>
                    <w:id w:val="-2048509855"/>
                    <w:lock w:val="sdtLocked"/>
                  </w:sdtPr>
                  <w:sdtEndPr/>
                  <w:sdtContent>
                    <w:sdt>
                      <w:sdtPr>
                        <w:alias w:val="5.4 pp."/>
                        <w:tag w:val="part_ed809a6ca8e6409ab5505c7217de4d46"/>
                        <w:id w:val="-914084175"/>
                        <w:lock w:val="sdtLocked"/>
                      </w:sdtPr>
                      <w:sdtEndPr/>
                      <w:sdtContent>
                        <w:p w:rsidR="00E03843" w:rsidRDefault="000F13D2" w:rsidP="000F13D2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d809a6ca8e6409ab5505c7217de4d46"/>
                              <w:id w:val="-422955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Vadovaujantis BBIR 25b straipsnio 4 dalimi ir atsižvelgiant į EMTT ir MSC veiksmų taisykles, pagalbos intensyvumas gali siekti iki 100 procentų tinkamų finansuoti išlaidų.“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bbc86f60e8f74a48ae27bea4f43c2121"/>
                <w:id w:val="193351514"/>
                <w:lock w:val="sdtLocked"/>
              </w:sdtPr>
              <w:sdtEndPr/>
              <w:sdtContent>
                <w:p w:rsidR="00E03843" w:rsidRDefault="00111958" w:rsidP="000F13D2">
                  <w:pPr>
                    <w:ind w:firstLine="851"/>
                    <w:jc w:val="both"/>
                  </w:pPr>
                  <w:sdt>
                    <w:sdtPr>
                      <w:alias w:val="Numeris"/>
                      <w:tag w:val="nr_bbc86f60e8f74a48ae27bea4f43c2121"/>
                      <w:id w:val="-1684509653"/>
                      <w:lock w:val="sdtLocked"/>
                    </w:sdtPr>
                    <w:sdtEndPr/>
                    <w:sdtContent>
                      <w:r w:rsidR="000F13D2">
                        <w:t>1.8</w:t>
                      </w:r>
                    </w:sdtContent>
                  </w:sdt>
                  <w:r w:rsidR="000F13D2">
                    <w:t>. Pakeičiu 10 punktą ir jį išdėstau taip:</w:t>
                  </w:r>
                </w:p>
                <w:tbl>
                  <w:tblPr>
                    <w:tblW w:w="96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9634"/>
                  </w:tblGrid>
                  <w:tr w:rsidR="00E03843">
                    <w:trPr>
                      <w:trHeight w:val="349"/>
                    </w:trPr>
                    <w:tc>
                      <w:tcPr>
                        <w:tcW w:w="9634" w:type="dxa"/>
                      </w:tcPr>
                      <w:p w:rsidR="00E03843" w:rsidRDefault="000F13D2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„</w:t>
                        </w:r>
                        <w:r>
                          <w:rPr>
                            <w:b/>
                            <w:szCs w:val="24"/>
                          </w:rPr>
                          <w:t>10. Projektų veiklų ir jungtinio projekto projektų įgyvendinimui taikomi supaprastintai apmokamų išlaidų dydžiai</w:t>
                        </w:r>
                      </w:p>
                    </w:tc>
                  </w:tr>
                  <w:tr w:rsidR="00E03843">
                    <w:tc>
                      <w:tcPr>
                        <w:tcW w:w="9634" w:type="dxa"/>
                      </w:tcPr>
                      <w:p w:rsidR="00E03843" w:rsidRDefault="00E03843">
                        <w:pPr>
                          <w:jc w:val="both"/>
                          <w:rPr>
                            <w:iCs/>
                            <w:szCs w:val="24"/>
                          </w:rPr>
                        </w:pPr>
                      </w:p>
                      <w:tbl>
                        <w:tblPr>
                          <w:tblW w:w="3518" w:type="pct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4A0" w:firstRow="1" w:lastRow="0" w:firstColumn="1" w:lastColumn="0" w:noHBand="0" w:noVBand="1"/>
                        </w:tblPr>
                        <w:tblGrid>
                          <w:gridCol w:w="1574"/>
                          <w:gridCol w:w="1610"/>
                          <w:gridCol w:w="1610"/>
                          <w:gridCol w:w="1610"/>
                          <w:gridCol w:w="2971"/>
                        </w:tblGrid>
                        <w:tr w:rsidR="00E03843">
                          <w:tc>
                            <w:tcPr>
                              <w:tcW w:w="5000" w:type="pct"/>
                              <w:gridSpan w:val="5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both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rFonts w:ascii="MS Gothic" w:eastAsia="MS Gothic" w:hAnsi="MS Gothic"/>
                                  <w:b/>
                                  <w:bCs/>
                                  <w:sz w:val="22"/>
                                  <w:szCs w:val="22"/>
                                </w:rPr>
                                <w:t>☐</w:t>
                              </w:r>
                              <w:r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 xml:space="preserve"> Indeksuojama</w:t>
                              </w:r>
                            </w:p>
                            <w:p w:rsidR="00E03843" w:rsidRDefault="000F13D2">
                              <w:pPr>
                                <w:jc w:val="both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rFonts w:ascii="MS Gothic" w:eastAsia="MS Gothic" w:hAnsi="MS Gothic"/>
                                  <w:b/>
                                  <w:bCs/>
                                  <w:sz w:val="22"/>
                                  <w:szCs w:val="22"/>
                                </w:rPr>
                                <w:t>☒</w:t>
                              </w:r>
                              <w:r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 xml:space="preserve"> Neindeksuojama</w:t>
                              </w:r>
                            </w:p>
                          </w:tc>
                        </w:tr>
                        <w:tr w:rsidR="00E03843">
                          <w:tc>
                            <w:tcPr>
                              <w:tcW w:w="95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Veiklos ir (ar) išlaidos, kurioms taikomi supaprastintai apmokamų išlaidų dydžiai</w:t>
                              </w:r>
                            </w:p>
                          </w:tc>
                          <w:tc>
                            <w:tcPr>
                              <w:tcW w:w="101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Supaprastintai apmokamų išlaidų dydžio kodas</w:t>
                              </w:r>
                            </w:p>
                          </w:tc>
                          <w:tc>
                            <w:tcPr>
                              <w:tcW w:w="867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b/>
                                  <w:bCs/>
                                  <w:i/>
                                  <w:iCs/>
                                  <w:color w:val="808080"/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Supaprastintai apmokamų išlaidų dydžio versija</w:t>
                              </w:r>
                            </w:p>
                          </w:tc>
                          <w:tc>
                            <w:tcPr>
                              <w:tcW w:w="1375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Supaprastintai apmokamų išlaidų dydžio pavadinimas</w:t>
                              </w:r>
                            </w:p>
                          </w:tc>
                          <w:tc>
                            <w:tcPr>
                              <w:tcW w:w="794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Papildoma informacija</w:t>
                              </w:r>
                            </w:p>
                          </w:tc>
                        </w:tr>
                        <w:tr w:rsidR="00E03843">
                          <w:tc>
                            <w:tcPr>
                              <w:tcW w:w="95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iCs/>
                                  <w:sz w:val="20"/>
                                </w:rPr>
                                <w:t>10.1. Privalomos projekto matomumo ir informavimo apie projektus priemonės</w:t>
                              </w:r>
                            </w:p>
                          </w:tc>
                          <w:tc>
                            <w:tcPr>
                              <w:tcW w:w="101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FS-01-01</w:t>
                              </w:r>
                            </w:p>
                          </w:tc>
                          <w:tc>
                            <w:tcPr>
                              <w:tcW w:w="867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  <w:lang w:val="en-GB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01</w:t>
                              </w:r>
                            </w:p>
                          </w:tc>
                          <w:tc>
                            <w:tcPr>
                              <w:tcW w:w="1375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bCs/>
                                  <w:iCs/>
                                  <w:sz w:val="20"/>
                                </w:rPr>
                                <w:t xml:space="preserve">Įgyvendintų privalomų matomumo ir informavimo priemonių apie ES fondų investicijų veiklas fiksuotoji suma, pirmojo rinkinio FS </w:t>
                              </w:r>
                              <w:r>
                                <w:rPr>
                                  <w:sz w:val="20"/>
                                </w:rPr>
                                <w:t>be PVM</w:t>
                              </w:r>
                            </w:p>
                          </w:tc>
                          <w:tc>
                            <w:tcPr>
                              <w:tcW w:w="794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Išlaidų suma – 15,45 Eur</w:t>
                              </w:r>
                            </w:p>
                          </w:tc>
                        </w:tr>
                        <w:tr w:rsidR="00E03843">
                          <w:tc>
                            <w:tcPr>
                              <w:tcW w:w="95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iCs/>
                                  <w:sz w:val="20"/>
                                </w:rPr>
                                <w:t>10.2. Privalomos projekto matomumo ir informavimo apie projektus priemonės</w:t>
                              </w:r>
                            </w:p>
                          </w:tc>
                          <w:tc>
                            <w:tcPr>
                              <w:tcW w:w="101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FS-01-02</w:t>
                              </w:r>
                            </w:p>
                          </w:tc>
                          <w:tc>
                            <w:tcPr>
                              <w:tcW w:w="867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01</w:t>
                              </w:r>
                            </w:p>
                          </w:tc>
                          <w:tc>
                            <w:tcPr>
                              <w:tcW w:w="1375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bCs/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bCs/>
                                  <w:iCs/>
                                  <w:sz w:val="20"/>
                                </w:rPr>
                                <w:t>Įgyvendintų privalomų matomumo ir informavimo priemonių apie ES fondų investicijų veiklas fiksuotoji suma, pirmojo rinkinio FS su PVM</w:t>
                              </w:r>
                            </w:p>
                          </w:tc>
                          <w:tc>
                            <w:tcPr>
                              <w:tcW w:w="794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Išlaidų suma – 18,69 Eur</w:t>
                              </w:r>
                            </w:p>
                          </w:tc>
                        </w:tr>
                        <w:tr w:rsidR="00E03843">
                          <w:tc>
                            <w:tcPr>
                              <w:tcW w:w="95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 xml:space="preserve">10.3. Privalomos projekto matomumo ir informavimo apie projektus priemonės </w:t>
                              </w:r>
                            </w:p>
                          </w:tc>
                          <w:tc>
                            <w:tcPr>
                              <w:tcW w:w="101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FS-01-03</w:t>
                              </w:r>
                            </w:p>
                          </w:tc>
                          <w:tc>
                            <w:tcPr>
                              <w:tcW w:w="867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01</w:t>
                              </w:r>
                            </w:p>
                          </w:tc>
                          <w:tc>
                            <w:tcPr>
                              <w:tcW w:w="1375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bCs/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Įgyvendintų privalomų matomumo ir informavimo priemonių apie ES fondų investicijų veiklas fiksuotoji suma, antrojo rinkinio FS be PVM</w:t>
                              </w:r>
                            </w:p>
                          </w:tc>
                          <w:tc>
                            <w:tcPr>
                              <w:tcW w:w="794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Išlaidų suma – 1 121,56 Eur</w:t>
                              </w:r>
                            </w:p>
                          </w:tc>
                        </w:tr>
                        <w:tr w:rsidR="00E03843">
                          <w:tc>
                            <w:tcPr>
                              <w:tcW w:w="95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 xml:space="preserve">10.4. Privalomos projekto matomumo ir informavimo </w:t>
                              </w:r>
                              <w:r>
                                <w:rPr>
                                  <w:sz w:val="20"/>
                                </w:rPr>
                                <w:lastRenderedPageBreak/>
                                <w:t xml:space="preserve">apie projektus priemonės </w:t>
                              </w:r>
                            </w:p>
                          </w:tc>
                          <w:tc>
                            <w:tcPr>
                              <w:tcW w:w="101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lastRenderedPageBreak/>
                                <w:t>FS-01-04</w:t>
                              </w:r>
                            </w:p>
                          </w:tc>
                          <w:tc>
                            <w:tcPr>
                              <w:tcW w:w="867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01</w:t>
                              </w:r>
                            </w:p>
                          </w:tc>
                          <w:tc>
                            <w:tcPr>
                              <w:tcW w:w="1375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bCs/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 xml:space="preserve">Įgyvendintų privalomų matomumo ir informavimo priemonių apie ES fondų </w:t>
                              </w:r>
                              <w:r>
                                <w:rPr>
                                  <w:sz w:val="20"/>
                                </w:rPr>
                                <w:lastRenderedPageBreak/>
                                <w:t>investicijų veiklas fiksuotoji suma, antrojo rinkinio FS su PVM</w:t>
                              </w:r>
                            </w:p>
                          </w:tc>
                          <w:tc>
                            <w:tcPr>
                              <w:tcW w:w="794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lastRenderedPageBreak/>
                                <w:t>Išlaidų suma – 1 357,09 Eur</w:t>
                              </w:r>
                            </w:p>
                          </w:tc>
                        </w:tr>
                        <w:tr w:rsidR="00E03843">
                          <w:tc>
                            <w:tcPr>
                              <w:tcW w:w="95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iCs/>
                                  <w:sz w:val="20"/>
                                </w:rPr>
                                <w:t>10.5. Netiesioginės išlaidos</w:t>
                              </w: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</w:p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iCs/>
                                  <w:sz w:val="20"/>
                                </w:rPr>
                                <w:t>Taikoma veiklai, nurodytai Aprašo 2.6.1 papunktyje</w:t>
                              </w:r>
                            </w:p>
                          </w:tc>
                          <w:tc>
                            <w:tcPr>
                              <w:tcW w:w="101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FN-01</w:t>
                              </w:r>
                            </w:p>
                          </w:tc>
                          <w:tc>
                            <w:tcPr>
                              <w:tcW w:w="867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bCs/>
                                  <w:iCs/>
                                  <w:sz w:val="20"/>
                                  <w:lang w:eastAsia="lt-LT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01</w:t>
                              </w:r>
                            </w:p>
                          </w:tc>
                          <w:tc>
                            <w:tcPr>
                              <w:tcW w:w="1375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Iki 7 proc. netiesioginių išlaidų fiksuotoji norma</w:t>
                              </w:r>
                            </w:p>
                          </w:tc>
                          <w:tc>
                            <w:tcPr>
                              <w:tcW w:w="794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iCs/>
                                  <w:sz w:val="20"/>
                                </w:rPr>
                                <w:t>Netiesioginės projekto išlaidos skaičiuojamos nuo tinkamų finansuoti tiesioginių projekto išlaidų</w:t>
                              </w: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</w:p>
                          </w:tc>
                        </w:tr>
                        <w:tr w:rsidR="00E03843">
                          <w:tc>
                            <w:tcPr>
                              <w:tcW w:w="95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10.6. Projektą vykdančio personalo darbo užmokesčio išlaidų dalis per mėnesį, skirta kasmetinėms atostogoms, kuri apskaičiuojama nuo tinkamų finansuoti faktiškai patirtų darbo užmokesčio išlaidų už faktiškai dirbtą laiką</w:t>
                              </w:r>
                            </w:p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(8,63 proc.)</w:t>
                              </w: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</w:p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iCs/>
                                  <w:sz w:val="20"/>
                                </w:rPr>
                                <w:t>Taikoma veiklai, nurodytai Aprašo 2.6.1 papunktyje</w:t>
                              </w:r>
                            </w:p>
                          </w:tc>
                          <w:tc>
                            <w:tcPr>
                              <w:tcW w:w="101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</w:pPr>
                              <w:r>
                                <w:rPr>
                                  <w:sz w:val="20"/>
                                </w:rPr>
                                <w:t>FN-05-01</w:t>
                              </w:r>
                            </w:p>
                          </w:tc>
                          <w:tc>
                            <w:tcPr>
                              <w:tcW w:w="867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01</w:t>
                              </w:r>
                            </w:p>
                          </w:tc>
                          <w:tc>
                            <w:tcPr>
                              <w:tcW w:w="1375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Fiksuotoji norma, taikoma, kai priklauso 20 darbo dienų (toliau – d. d.) (jeigu dirbama 5 d. d. per savaitę) arba 24 d. d. (jeigu dirbama 6 d. d. per savaitę) kasmetinių atostogų</w:t>
                              </w:r>
                            </w:p>
                          </w:tc>
                          <w:tc>
                            <w:tcPr>
                              <w:tcW w:w="794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Projektą vykdančio personalo darbo užmokesčio išlaidos už kasmetines atostogas, kurios apskaičiuojamos nuo tinkamų finansuoti faktiškai patirtų vykdančiojo personalo darbo užmokesčio išlaidų</w:t>
                              </w: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</w:p>
                          </w:tc>
                        </w:tr>
                        <w:tr w:rsidR="00E03843">
                          <w:tc>
                            <w:tcPr>
                              <w:tcW w:w="95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10.7. Projektą vykdančio personalo darbo užmokesčio išlaidų dalis per mėnesį, skirta kasmetinėms atostogoms, kuri apskaičiuojama nuo tinkamų finansuoti faktiškai patirtų darbo užmokesčio išlaidų už faktiškai dirbtą laiką</w:t>
                              </w:r>
                            </w:p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(10,44 proc.)</w:t>
                              </w: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</w:p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iCs/>
                                  <w:sz w:val="20"/>
                                </w:rPr>
                                <w:t>Taikoma veiklai, nurodytai Aprašo 2.6.1 papunktyje</w:t>
                              </w:r>
                            </w:p>
                          </w:tc>
                          <w:tc>
                            <w:tcPr>
                              <w:tcW w:w="101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</w:pPr>
                              <w:r>
                                <w:rPr>
                                  <w:sz w:val="20"/>
                                </w:rPr>
                                <w:t>FN-05-02</w:t>
                              </w:r>
                            </w:p>
                          </w:tc>
                          <w:tc>
                            <w:tcPr>
                              <w:tcW w:w="867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01</w:t>
                              </w:r>
                            </w:p>
                          </w:tc>
                          <w:tc>
                            <w:tcPr>
                              <w:tcW w:w="1375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Fiksuotoji norma, taikoma, kai priklauso nuo 21 iki 25 d. d. (jeigu dirbama 5 d. d. per savaitę) arba nuo 25 iki 30 d. d. (jeigu dirbama 6 d. d. per savaitę) kasmetinių atostogų</w:t>
                              </w:r>
                            </w:p>
                          </w:tc>
                          <w:tc>
                            <w:tcPr>
                              <w:tcW w:w="794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Projektą vykdančio personalo darbo užmokesčio išlaidos už kasmetines atostogas, kurios apskaičiuojamos nuo tinkamų finansuoti faktiškai patirtų vykdančiojo personalo darbo užmokesčio išlaidų</w:t>
                              </w: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</w:p>
                          </w:tc>
                        </w:tr>
                        <w:tr w:rsidR="00E03843">
                          <w:tc>
                            <w:tcPr>
                              <w:tcW w:w="95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 xml:space="preserve">10.8. Projektą vykdančio personalo darbo </w:t>
                              </w:r>
                              <w:r>
                                <w:rPr>
                                  <w:sz w:val="20"/>
                                </w:rPr>
                                <w:lastRenderedPageBreak/>
                                <w:t>užmokesčio išlaidų dalis per mėnesį, skirta kasmetinėms atostogoms, kuri apskaičiuojama nuo tinkamų finansuoti faktiškai patirtų darbo užmokesčio išlaidų už faktiškai dirbtą laiką</w:t>
                              </w:r>
                            </w:p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(12,35 proc.)</w:t>
                              </w: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</w:p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iCs/>
                                  <w:sz w:val="20"/>
                                </w:rPr>
                                <w:t>Taikoma veiklai, nurodytai Aprašo 2.6.1 papunktyje</w:t>
                              </w:r>
                            </w:p>
                          </w:tc>
                          <w:tc>
                            <w:tcPr>
                              <w:tcW w:w="101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lastRenderedPageBreak/>
                                <w:t>FN-05-03</w:t>
                              </w:r>
                            </w:p>
                          </w:tc>
                          <w:tc>
                            <w:tcPr>
                              <w:tcW w:w="867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bCs/>
                                  <w:iCs/>
                                  <w:sz w:val="20"/>
                                  <w:lang w:eastAsia="lt-LT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01</w:t>
                              </w:r>
                            </w:p>
                          </w:tc>
                          <w:tc>
                            <w:tcPr>
                              <w:tcW w:w="1375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 xml:space="preserve">Fiksuotoji norma, taikoma, kai priklauso nuo </w:t>
                              </w:r>
                              <w:r>
                                <w:rPr>
                                  <w:sz w:val="20"/>
                                </w:rPr>
                                <w:lastRenderedPageBreak/>
                                <w:t>26 iki 30 d. d. (jeigu dirbama 5 d. d. per savaitę) arba nuo 31 iki 36 d. d. (jeigu dirbama 6 d. d. per savaitę) kasmetinių atostogų</w:t>
                              </w:r>
                            </w:p>
                          </w:tc>
                          <w:tc>
                            <w:tcPr>
                              <w:tcW w:w="794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lastRenderedPageBreak/>
                                <w:t xml:space="preserve">Projektą vykdančio personalo darbo užmokesčio išlaidos už kasmetines atostogas, kurios </w:t>
                              </w:r>
                              <w:r>
                                <w:rPr>
                                  <w:sz w:val="20"/>
                                </w:rPr>
                                <w:lastRenderedPageBreak/>
                                <w:t>apskaičiuojamos nuo tinkamų finansuoti faktiškai patirtų vykdančiojo personalo darbo užmokesčio išlaidų</w:t>
                              </w: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i/>
                                  <w:iCs/>
                                  <w:sz w:val="20"/>
                                </w:rPr>
                              </w:pPr>
                            </w:p>
                          </w:tc>
                        </w:tr>
                        <w:tr w:rsidR="00E03843">
                          <w:tc>
                            <w:tcPr>
                              <w:tcW w:w="95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lastRenderedPageBreak/>
                                <w:t>10.9. Projektą vykdančio personalo darbo užmokesčio išlaidų dalis per mėnesį, skirta kasmetinėms atostogoms, kuri apskaičiuojama nuo tinkamų finansuoti faktiškai patirtų darbo užmokesčio išlaidų už faktiškai dirbtą laiką</w:t>
                              </w:r>
                            </w:p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(14,99 proc.)</w:t>
                              </w: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</w:p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iCs/>
                                  <w:sz w:val="20"/>
                                </w:rPr>
                                <w:t>Taikoma veiklai, nurodytai Aprašo 2.6.1 papunktyje</w:t>
                              </w:r>
                            </w:p>
                          </w:tc>
                          <w:tc>
                            <w:tcPr>
                              <w:tcW w:w="101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FN-05-04</w:t>
                              </w:r>
                            </w:p>
                          </w:tc>
                          <w:tc>
                            <w:tcPr>
                              <w:tcW w:w="867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bCs/>
                                  <w:iCs/>
                                  <w:sz w:val="20"/>
                                  <w:lang w:eastAsia="lt-LT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01</w:t>
                              </w:r>
                            </w:p>
                          </w:tc>
                          <w:tc>
                            <w:tcPr>
                              <w:tcW w:w="1375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Fiksuotoji norma, taikoma, kai priklauso nuo 31 iki 36 d. d. (jeigu dirbama 5 d. d. per savaitę) arba nuo 37 iki 42 d. d. (jeigu dirbama 6 d. d. per savaitę) kasmetinių atostogų</w:t>
                              </w:r>
                            </w:p>
                          </w:tc>
                          <w:tc>
                            <w:tcPr>
                              <w:tcW w:w="794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Projektą vykdančio personalo darbo užmokesčio išlaidos už kasmetines atostogas, kurios apskaičiuojamos nuo tinkamų finansuoti faktiškai patirtų vykdančiojo personalo darbo užmokesčio išlaidų</w:t>
                              </w: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i/>
                                  <w:iCs/>
                                  <w:sz w:val="20"/>
                                </w:rPr>
                              </w:pPr>
                            </w:p>
                          </w:tc>
                        </w:tr>
                        <w:tr w:rsidR="00E03843">
                          <w:tc>
                            <w:tcPr>
                              <w:tcW w:w="95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10.10. Projektą vykdančio personalo darbo užmokesčio išlaidų dalis per mėnesį, skirta kasmetinėms atostogoms, kuri apskaičiuojama nuo tinkamų finansuoti faktiškai patirtų darbo užmokesčio išlaidų už faktiškai dirbtą laiką</w:t>
                              </w:r>
                            </w:p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(15,25 proc.)</w:t>
                              </w: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</w:p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iCs/>
                                  <w:sz w:val="20"/>
                                </w:rPr>
                                <w:lastRenderedPageBreak/>
                                <w:t>Taikoma veiklai, nurodytai Aprašo 2.6.1 papunktyje</w:t>
                              </w:r>
                            </w:p>
                          </w:tc>
                          <w:tc>
                            <w:tcPr>
                              <w:tcW w:w="101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lastRenderedPageBreak/>
                                <w:t>FN-05-05</w:t>
                              </w:r>
                            </w:p>
                          </w:tc>
                          <w:tc>
                            <w:tcPr>
                              <w:tcW w:w="867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bCs/>
                                  <w:iCs/>
                                  <w:sz w:val="20"/>
                                  <w:lang w:eastAsia="lt-LT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01</w:t>
                              </w:r>
                            </w:p>
                          </w:tc>
                          <w:tc>
                            <w:tcPr>
                              <w:tcW w:w="1375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Fiksuotoji norma, taikoma, kai priklauso nuo 37 iki 39 d. d. (jeigu dirbama 5 d. d. per savaitę) arba nuo 43 iki 47 d. d. (jeigu dirbama 6 d. d. per savaitę) kasmetinių atostogų</w:t>
                              </w:r>
                            </w:p>
                          </w:tc>
                          <w:tc>
                            <w:tcPr>
                              <w:tcW w:w="794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Projektą vykdančio personalo darbo užmokesčio išlaidos už kasmetines atostogas, kurios apskaičiuojamos nuo tinkamų finansuoti faktiškai patirtų vykdančiojo personalo darbo užmokesčio išlaidų</w:t>
                              </w: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i/>
                                  <w:iCs/>
                                  <w:sz w:val="20"/>
                                </w:rPr>
                              </w:pPr>
                            </w:p>
                          </w:tc>
                        </w:tr>
                        <w:tr w:rsidR="00E03843">
                          <w:tc>
                            <w:tcPr>
                              <w:tcW w:w="95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10.11. Projektą vykdančio personalo darbo užmokesčio išlaidų dalis per mėnesį, skirta kasmetinėms atostogoms, kuri apskaičiuojama nuo tinkamų finansuoti faktiškai patirtų darbo užmokesčio išlaidų už faktiškai dirbtą laiką</w:t>
                              </w:r>
                            </w:p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(18,89 proc.)</w:t>
                              </w: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</w:p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iCs/>
                                  <w:sz w:val="20"/>
                                </w:rPr>
                                <w:t>Taikoma veiklai, nurodytai Aprašo 2.6.1 papunktyje</w:t>
                              </w:r>
                            </w:p>
                          </w:tc>
                          <w:tc>
                            <w:tcPr>
                              <w:tcW w:w="101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FN-05-06</w:t>
                              </w:r>
                            </w:p>
                          </w:tc>
                          <w:tc>
                            <w:tcPr>
                              <w:tcW w:w="867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bCs/>
                                  <w:iCs/>
                                  <w:sz w:val="20"/>
                                  <w:lang w:eastAsia="lt-LT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01</w:t>
                              </w:r>
                            </w:p>
                          </w:tc>
                          <w:tc>
                            <w:tcPr>
                              <w:tcW w:w="1375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Fiksuotoji norma, taikoma, kai priklauso 40 d. d. (jeigu dirbama 5 d. d. per savaitę) arba 48 d. d. (jeigu dirbama 6 d. d. per savaitę) kasmetinių atostogų</w:t>
                              </w:r>
                            </w:p>
                          </w:tc>
                          <w:tc>
                            <w:tcPr>
                              <w:tcW w:w="794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Projektą vykdančio personalo darbo užmokesčio išlaidos už kasmetines atostogas, kurios apskaičiuojamos nuo tinkamų finansuoti faktiškai patirtų vykdančiojo personalo darbo užmokesčio išlaidų</w:t>
                              </w: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i/>
                                  <w:iCs/>
                                  <w:sz w:val="20"/>
                                </w:rPr>
                              </w:pPr>
                            </w:p>
                          </w:tc>
                        </w:tr>
                        <w:tr w:rsidR="00E03843">
                          <w:tc>
                            <w:tcPr>
                              <w:tcW w:w="95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10.12. Projektą vykdančio personalo darbo užmokesčio išlaidų dalis per mėnesį, skirta kasmetinėms atostogoms, kuri apskaičiuojama nuo tinkamų finansuoti faktiškai patirtų darbo užmokesčio išlaidų už faktiškai dirbtą laiką</w:t>
                              </w:r>
                            </w:p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(20,02 proc.)</w:t>
                              </w: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</w:p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iCs/>
                                  <w:sz w:val="20"/>
                                </w:rPr>
                                <w:t>Taikoma veiklai, nurodytai Aprašo 2.6.1 papunktyje</w:t>
                              </w:r>
                            </w:p>
                          </w:tc>
                          <w:tc>
                            <w:tcPr>
                              <w:tcW w:w="101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FN-05-07</w:t>
                              </w:r>
                            </w:p>
                          </w:tc>
                          <w:tc>
                            <w:tcPr>
                              <w:tcW w:w="867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bCs/>
                                  <w:iCs/>
                                  <w:sz w:val="20"/>
                                  <w:lang w:eastAsia="lt-LT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01</w:t>
                              </w:r>
                            </w:p>
                          </w:tc>
                          <w:tc>
                            <w:tcPr>
                              <w:tcW w:w="1375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Fiksuotoji norma, taikoma, kai priklauso nuo 41 d. d. (jeigu dirbama 5 d. d. per savaitę) arba nuo 49 d. d. (jeigu dirbama 6 d. d. per savaitę) kasmetinių atostogų</w:t>
                              </w:r>
                            </w:p>
                          </w:tc>
                          <w:tc>
                            <w:tcPr>
                              <w:tcW w:w="794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Projektą vykdančio personalo darbo užmokesčio išlaidos už kasmetines atostogas, kurios apskaičiuojamos nuo tinkamų finansuoti faktiškai patirtų vykdančiojo personalo darbo užmokesčio išlaidų</w:t>
                              </w: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i/>
                                  <w:iCs/>
                                  <w:sz w:val="20"/>
                                </w:rPr>
                              </w:pPr>
                            </w:p>
                          </w:tc>
                        </w:tr>
                        <w:tr w:rsidR="00E03843">
                          <w:tc>
                            <w:tcPr>
                              <w:tcW w:w="95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 xml:space="preserve">10.13. Mokslininkų individualių podoktorantūros stažuočių Lietuvos institucijose (Europinė stažuotė, angl.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European fellowship</w:t>
                              </w:r>
                              <w:r>
                                <w:rPr>
                                  <w:sz w:val="20"/>
                                </w:rPr>
                                <w:t xml:space="preserve">) ir trečiosiose </w:t>
                              </w:r>
                              <w:r>
                                <w:rPr>
                                  <w:sz w:val="20"/>
                                </w:rPr>
                                <w:lastRenderedPageBreak/>
                                <w:t xml:space="preserve">šalyse (Pasaulinė stažuotė, angl.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Global fellowship</w:t>
                              </w:r>
                              <w:r>
                                <w:rPr>
                                  <w:sz w:val="20"/>
                                </w:rPr>
                                <w:t>) projekto pagal MSC veiksmų schemą išlaidos</w:t>
                              </w: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</w:p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  <w:highlight w:val="yellow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Taikoma veiklai, nurodytai Aprašo 2.6.2 papunktyje</w:t>
                              </w:r>
                            </w:p>
                          </w:tc>
                          <w:tc>
                            <w:tcPr>
                              <w:tcW w:w="101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lastRenderedPageBreak/>
                                <w:t>IFĮ, IFS</w:t>
                              </w:r>
                            </w:p>
                          </w:tc>
                          <w:tc>
                            <w:tcPr>
                              <w:tcW w:w="867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-</w:t>
                              </w:r>
                            </w:p>
                          </w:tc>
                          <w:tc>
                            <w:tcPr>
                              <w:tcW w:w="1375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-</w:t>
                              </w:r>
                            </w:p>
                          </w:tc>
                          <w:tc>
                            <w:tcPr>
                              <w:tcW w:w="794" w:type="pct"/>
                              <w:shd w:val="clear" w:color="auto" w:fill="auto"/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</w:rPr>
                              </w:pPr>
                              <w:r>
                                <w:rPr>
                                  <w:iCs/>
                                  <w:sz w:val="20"/>
                                </w:rPr>
                                <w:t>IFĮ ir / arba IFS nustatomi remiantis MSC veiksmų 2021–2022 metų darbo programoje (</w:t>
                              </w:r>
                              <w:r>
                                <w:rPr>
                                  <w:iCs/>
                                  <w:sz w:val="20"/>
                                  <w:u w:val="single"/>
                                </w:rPr>
                                <w:t>https://ec.europa.eu/info/funding-tenders/opportunities/docs/2021-2027/horizon/wp-call/2021-2022/wp-2-msca-actions_horizon-2021-2022_en.pdf</w:t>
                              </w:r>
                              <w:r>
                                <w:rPr>
                                  <w:iCs/>
                                  <w:sz w:val="20"/>
                                </w:rPr>
                                <w:t>) arba 2023–2024 metų darbo programoje (</w:t>
                              </w:r>
                              <w:r>
                                <w:rPr>
                                  <w:iCs/>
                                  <w:sz w:val="20"/>
                                  <w:u w:val="single"/>
                                </w:rPr>
                                <w:t>https://ec.europa.eu/info/funding-tenders/opportunities/docs/2021-2027/horizon/wp-call/2023-</w:t>
                              </w:r>
                              <w:r>
                                <w:rPr>
                                  <w:iCs/>
                                  <w:sz w:val="20"/>
                                  <w:u w:val="single"/>
                                </w:rPr>
                                <w:lastRenderedPageBreak/>
                                <w:t>2024/wp-2-msca-actions_horizon-2023-2024_en.pdf</w:t>
                              </w:r>
                              <w:r>
                                <w:rPr>
                                  <w:iCs/>
                                  <w:sz w:val="20"/>
                                </w:rPr>
                                <w:t>) nurodytais fiksuotaisiais dydžiais. Nustatant IFĮ ir / arba IFS turi būti remiamasi tais fiksuotaisiais dydžiais, kurie nurodyti toje MSC veiksmų darbo programoje, pagal kurią Pareiškėjas teikė paraišką gauti EK finansavimą</w:t>
                              </w:r>
                            </w:p>
                          </w:tc>
                        </w:tr>
                        <w:tr w:rsidR="00E03843">
                          <w:tc>
                            <w:tcPr>
                              <w:tcW w:w="95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lastRenderedPageBreak/>
                                <w:t xml:space="preserve">10.14. Programos „Europos horizontas“ EMTT koncepcijos pagrindimo (angl.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Proof of Concept)</w:t>
                              </w:r>
                              <w:r>
                                <w:rPr>
                                  <w:sz w:val="20"/>
                                </w:rPr>
                                <w:t xml:space="preserve"> dotacijos projekto, kuriam neskirtas EK finansavimas, bet suteiktas EK Kokybės ženklas (angl.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Seal of Excellence</w:t>
                              </w:r>
                              <w:r>
                                <w:rPr>
                                  <w:sz w:val="20"/>
                                </w:rPr>
                                <w:t>), išlaidos</w:t>
                              </w:r>
                            </w:p>
                            <w:p w:rsidR="00E03843" w:rsidRDefault="00E03843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</w:p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Taikoma veiklai, nurodytai Aprašo 2.6.3 papunktyje</w:t>
                              </w:r>
                            </w:p>
                          </w:tc>
                          <w:tc>
                            <w:tcPr>
                              <w:tcW w:w="1012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IFS</w:t>
                              </w:r>
                            </w:p>
                          </w:tc>
                          <w:tc>
                            <w:tcPr>
                              <w:tcW w:w="867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-</w:t>
                              </w:r>
                            </w:p>
                          </w:tc>
                          <w:tc>
                            <w:tcPr>
                              <w:tcW w:w="1375" w:type="pct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-</w:t>
                              </w:r>
                            </w:p>
                          </w:tc>
                          <w:tc>
                            <w:tcPr>
                              <w:tcW w:w="794" w:type="pct"/>
                              <w:shd w:val="clear" w:color="auto" w:fill="auto"/>
                            </w:tcPr>
                            <w:p w:rsidR="00E03843" w:rsidRDefault="000F13D2">
                              <w:pPr>
                                <w:jc w:val="center"/>
                                <w:rPr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iCs/>
                                  <w:sz w:val="20"/>
                                </w:rPr>
                                <w:t>IFS nustatoma remiantis EMTT 2022 metų darbo programoje (</w:t>
                              </w:r>
                              <w:r>
                                <w:rPr>
                                  <w:iCs/>
                                  <w:sz w:val="20"/>
                                  <w:u w:val="single"/>
                                </w:rPr>
                                <w:t>https://ec.europa.eu/info/funding-tenders/opportunities/docs/2021-2027/horizon/wp-call/2022/wp_horizon-erc-2022_en.pdf</w:t>
                              </w:r>
                              <w:r>
                                <w:rPr>
                                  <w:iCs/>
                                  <w:sz w:val="20"/>
                                </w:rPr>
                                <w:t>) arba 2023 metų darbo programoje (</w:t>
                              </w:r>
                              <w:r>
                                <w:rPr>
                                  <w:iCs/>
                                  <w:sz w:val="20"/>
                                  <w:u w:val="single"/>
                                </w:rPr>
                                <w:t>https://ec.europa.eu/info/funding-tenders/opportunities/docs/2021-2027/horizon/wp-call/2023/wp_horizon-erc-2023_en.pdf</w:t>
                              </w:r>
                              <w:r>
                                <w:rPr>
                                  <w:iCs/>
                                  <w:sz w:val="20"/>
                                </w:rPr>
                                <w:t>), arba 2024 metų darbo programoje (</w:t>
                              </w:r>
                              <w:r>
                                <w:rPr>
                                  <w:iCs/>
                                  <w:sz w:val="20"/>
                                  <w:u w:val="single"/>
                                </w:rPr>
                                <w:t>https://ec.europa.eu/info/funding-tenders/opportunities/docs/2021-2027/horizon/wp-call/2024/wp_horizon-erc-2024_en.pdf</w:t>
                              </w:r>
                              <w:r>
                                <w:rPr>
                                  <w:iCs/>
                                  <w:sz w:val="20"/>
                                </w:rPr>
                                <w:t>) nurodytais fiksuotaisiais dydžiais. Nustatant IFS turi būti remiamasi tais fiksuotaisiais dydžiais, kurie nurodyti toje EMTT veiksmų darbo programoje, pagal kurią Pareiškėjas teikė paraišką gauti EK finansavimą“</w:t>
                              </w:r>
                            </w:p>
                          </w:tc>
                        </w:tr>
                      </w:tbl>
                      <w:p w:rsidR="00E03843" w:rsidRDefault="00E03843"/>
                    </w:tc>
                  </w:tr>
                </w:tbl>
                <w:p w:rsidR="00E03843" w:rsidRDefault="00111958"/>
              </w:sdtContent>
            </w:sdt>
          </w:sdtContent>
        </w:sdt>
        <w:sdt>
          <w:sdtPr>
            <w:alias w:val="2 p."/>
            <w:tag w:val="part_91ead6488a0b4792a8ff8efa105c8905"/>
            <w:id w:val="-116682548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E03843" w:rsidRDefault="00111958" w:rsidP="00111958">
              <w:pPr>
                <w:ind w:left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1ead6488a0b4792a8ff8efa105c8905"/>
                  <w:id w:val="-96416036"/>
                  <w:lock w:val="sdtLocked"/>
                </w:sdtPr>
                <w:sdtEndPr/>
                <w:sdtContent>
                  <w:r w:rsidR="000F13D2"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 w:rsidR="000F13D2">
                <w:rPr>
                  <w:szCs w:val="24"/>
                </w:rPr>
                <w:t>Pakeičiu 8 priedą ir 10 punktą išdėstau taip: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629"/>
              </w:tblGrid>
              <w:tr w:rsidR="00E03843">
                <w:trPr>
                  <w:trHeight w:val="349"/>
                </w:trPr>
                <w:tc>
                  <w:tcPr>
                    <w:tcW w:w="5000" w:type="pct"/>
                  </w:tcPr>
                  <w:p w:rsidR="00E03843" w:rsidRDefault="000F13D2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„</w:t>
                    </w:r>
                    <w:r>
                      <w:rPr>
                        <w:b/>
                        <w:szCs w:val="24"/>
                      </w:rPr>
                      <w:t>10. Projektų veiklų ir jungtinio projekto projektų įgyvendinimui taikomi supaprastintai apmokamų išlaidų dydžiai</w:t>
                    </w:r>
                  </w:p>
                </w:tc>
              </w:tr>
              <w:tr w:rsidR="00E03843">
                <w:tc>
                  <w:tcPr>
                    <w:tcW w:w="5000" w:type="pct"/>
                  </w:tcPr>
                  <w:p w:rsidR="00E03843" w:rsidRDefault="00E03843">
                    <w:pPr>
                      <w:jc w:val="both"/>
                      <w:rPr>
                        <w:i/>
                        <w:iCs/>
                        <w:szCs w:val="24"/>
                      </w:rPr>
                    </w:pPr>
                  </w:p>
                  <w:tbl>
                    <w:tblPr>
                      <w:tblW w:w="9384" w:type="dxa"/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Look w:val="04A0" w:firstRow="1" w:lastRow="0" w:firstColumn="1" w:lastColumn="0" w:noHBand="0" w:noVBand="1"/>
                    </w:tblPr>
                    <w:tblGrid>
                      <w:gridCol w:w="2205"/>
                      <w:gridCol w:w="1610"/>
                      <w:gridCol w:w="1610"/>
                      <w:gridCol w:w="2087"/>
                      <w:gridCol w:w="1872"/>
                    </w:tblGrid>
                    <w:tr w:rsidR="00E03843">
                      <w:tc>
                        <w:tcPr>
                          <w:tcW w:w="9384" w:type="dxa"/>
                          <w:gridSpan w:val="5"/>
                        </w:tcPr>
                        <w:p w:rsidR="00E03843" w:rsidRDefault="000F13D2">
                          <w:pPr>
                            <w:jc w:val="both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MS Gothic" w:eastAsia="MS Gothic" w:hAnsi="MS Gothic" w:cs="MS Gothic"/>
                              <w:b/>
                              <w:bCs/>
                              <w:sz w:val="22"/>
                              <w:szCs w:val="22"/>
                            </w:rPr>
                            <w:t>☐</w:t>
                          </w: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 xml:space="preserve"> Indeksuojama</w:t>
                          </w:r>
                        </w:p>
                        <w:p w:rsidR="00E03843" w:rsidRDefault="000F13D2">
                          <w:pPr>
                            <w:jc w:val="both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MS Gothic" w:eastAsia="MS Gothic" w:hAnsi="MS Gothic"/>
                              <w:b/>
                              <w:bCs/>
                              <w:sz w:val="22"/>
                              <w:szCs w:val="22"/>
                            </w:rPr>
                            <w:t>☒</w:t>
                          </w: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 xml:space="preserve"> Neindeksuojama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  <w:vAlign w:val="center"/>
                        </w:tcPr>
                        <w:p w:rsidR="00E03843" w:rsidRDefault="000F13D2">
                          <w:pPr>
                            <w:jc w:val="center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Veiklos ir (ar) išlaidos, kurioms taikomi supaprastintai apmokamų išlaidų dydžiai</w:t>
                          </w:r>
                        </w:p>
                      </w:tc>
                      <w:tc>
                        <w:tcPr>
                          <w:tcW w:w="1610" w:type="dxa"/>
                          <w:vAlign w:val="center"/>
                        </w:tcPr>
                        <w:p w:rsidR="00E03843" w:rsidRDefault="000F13D2">
                          <w:pPr>
                            <w:jc w:val="center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Supaprastintai apmokamų išlaidų dydžio kodas</w:t>
                          </w:r>
                        </w:p>
                      </w:tc>
                      <w:tc>
                        <w:tcPr>
                          <w:tcW w:w="1610" w:type="dxa"/>
                          <w:vAlign w:val="center"/>
                        </w:tcPr>
                        <w:p w:rsidR="00E03843" w:rsidRDefault="000F13D2">
                          <w:pPr>
                            <w:jc w:val="center"/>
                            <w:rPr>
                              <w:b/>
                              <w:bCs/>
                              <w:i/>
                              <w:iCs/>
                              <w:color w:val="808080"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Supaprastintai apmokamų išlaidų dydžio versija</w:t>
                          </w:r>
                        </w:p>
                      </w:tc>
                      <w:tc>
                        <w:tcPr>
                          <w:tcW w:w="2087" w:type="dxa"/>
                          <w:vAlign w:val="center"/>
                        </w:tcPr>
                        <w:p w:rsidR="00E03843" w:rsidRDefault="000F13D2">
                          <w:pPr>
                            <w:jc w:val="center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Supaprastintai apmokamų išlaidų dydžio pavadinimas</w:t>
                          </w:r>
                        </w:p>
                      </w:tc>
                      <w:tc>
                        <w:tcPr>
                          <w:tcW w:w="1872" w:type="dxa"/>
                          <w:vAlign w:val="center"/>
                        </w:tcPr>
                        <w:p w:rsidR="00E03843" w:rsidRDefault="000F13D2">
                          <w:pPr>
                            <w:jc w:val="center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Papildoma informacija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i/>
                              <w:iCs/>
                              <w:sz w:val="20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t>Privalomos projekto matomumo ir informavimo apie projektus priemonės</w:t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i/>
                              <w:iCs/>
                              <w:sz w:val="20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t>FS-01-01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i/>
                              <w:iCs/>
                              <w:sz w:val="20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t>02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i/>
                              <w:iCs/>
                              <w:sz w:val="20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t>Įgyvendintų privalomų matomumo ir informavimo priemonių apie ES fondų investicijų veiklas fiksuotoji suma, pirmojo rinkinio FS be PVM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i/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Išlaidų suma – 18,5 Eur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lastRenderedPageBreak/>
                            <w:t>Privalomos projekto matomumo ir informavimo apie projektus priemonės</w:t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t>FS-01-02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t>02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bCs/>
                              <w:iCs/>
                              <w:sz w:val="20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t>Įgyvendintų privalomų matomumo ir informavimo priemonių apie ES fondų investicijų veiklas fiksuotoji suma, pirmojo rinkinio FS su PVM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Išlaidų suma – 22,39 Eur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t>Privalomos projekto matomumo ir informavimo apie projektus priemonės</w:t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FS-01-03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t>0</w:t>
                          </w:r>
                          <w:r>
                            <w:rPr>
                              <w:iCs/>
                              <w:sz w:val="20"/>
                              <w:lang w:val="en-GB"/>
                            </w:rPr>
                            <w:t>2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bCs/>
                              <w:iCs/>
                              <w:sz w:val="20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t>Įgyvendintų privalomų matomumo ir informavimo priemonių apie ES fondų investicijų veiklas fiksuotoji suma, antrojo rinkinio FS be PVM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Išlaidų suma – </w:t>
                          </w:r>
                        </w:p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1 342,57 Eur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t>Privalomos projekto matomumo ir informavimo apie projektus priemonės</w:t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FS-01-04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bCs/>
                              <w:iCs/>
                              <w:sz w:val="20"/>
                              <w:lang w:eastAsia="lt-LT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t>02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t>Įgyvendintų privalomų matomumo ir informavimo priemonių apie ES fondų investicijų veiklas fiksuotoji suma, antrojo rinkinio FS su PVM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ind w:right="50"/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Išlaidų suma – </w:t>
                          </w:r>
                        </w:p>
                        <w:p w:rsidR="00E03843" w:rsidRDefault="000F13D2">
                          <w:pPr>
                            <w:ind w:right="50"/>
                            <w:jc w:val="center"/>
                            <w:rPr>
                              <w:i/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1 624,51 Eur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t>Tarpmiestinių kelionių Lietuvoje išlaidos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FĮ-22-01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bCs/>
                              <w:iCs/>
                              <w:sz w:val="20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Kelionių išlaidų Lietuvoje fiksuotasis vieneto įkainis be PVM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i/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-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t>Tarpmiestinių kelionių Lietuvoje išlaidos</w:t>
                          </w:r>
                        </w:p>
                        <w:p w:rsidR="00E03843" w:rsidRDefault="00E03843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</w:p>
                      </w:tc>
                      <w:tc>
                        <w:tcPr>
                          <w:tcW w:w="1610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FĮ-22-02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bCs/>
                              <w:iCs/>
                              <w:sz w:val="20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Kelionių išlaidų Lietuvoje fiksuotasis vieneto įkainis su PVM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i/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-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Netiesioginės išlaidos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FN-01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Iki 7 proc. netiesioginių išlaidų fiksuotoji norma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-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Projektą vykdančio personalo darbo užmokesčio išlaidų dalis per mėnesį, skirta kasmetinėms atostogoms, kuri apskaičiuojama nuo tinkamų finansuoti faktiškai patirtų darbo užmokesčio išlaidų už faktiškai dirbtą laiką</w:t>
                          </w:r>
                        </w:p>
                        <w:p w:rsidR="00E03843" w:rsidRDefault="00E03843">
                          <w:pPr>
                            <w:jc w:val="center"/>
                            <w:rPr>
                              <w:sz w:val="20"/>
                            </w:rPr>
                          </w:pPr>
                        </w:p>
                      </w:tc>
                      <w:tc>
                        <w:tcPr>
                          <w:tcW w:w="1610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1) FN-05-01;</w:t>
                          </w:r>
                        </w:p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2) FN-05-02;</w:t>
                          </w:r>
                        </w:p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3) FN-05-03;</w:t>
                          </w:r>
                        </w:p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4) FN-05-04;</w:t>
                          </w:r>
                        </w:p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5) FN-05-05;</w:t>
                          </w:r>
                        </w:p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6) FN-05-06;</w:t>
                          </w:r>
                        </w:p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7) FN-05-07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bCs/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1) Fiksuotoji norma, taikoma, kai priklauso 20 darbo dienų (toliau – d. d.) (jeigu dirbama 5 d. d. per savaitę) arba 24 d. d. (jeigu dirbama 6 d. d. per savaitę) kasmetinių atostogų;</w:t>
                          </w:r>
                        </w:p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2) fiksuotoji norma, taikoma, kai priklauso nuo 21 iki 25 d. d. (jeigu dirbama 5 d. d. per savaitę) arba nuo 25 iki 30 d. d. (jeigu dirbama 6 d. d. per savaitę) kasmetinių atostogų;</w:t>
                          </w:r>
                        </w:p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3) fiksuotoji norma, taikoma, kai priklauso nuo 26 iki 30 d. d. (jeigu dirbama 5 d. d. per savaitę) arba nuo 31 iki 36 d. d. (jeigu dirbama 6 d. d. per savaitę) kasmetinių atostogų;</w:t>
                          </w:r>
                        </w:p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lastRenderedPageBreak/>
                            <w:t>4) fiksuotoji norma, taikoma, kai priklauso nuo 31 iki 36 d. d. (jeigu dirbama 5 d. d. per savaitę) arba nuo 37 iki 42 d. d. (jeigu dirbama 6 d. d. per savaitę) kasmetinių atostogų;</w:t>
                          </w:r>
                        </w:p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5) fiksuotoji norma, taikoma, kai priklauso nuo 37 iki 39 d. d. (jeigu dirbama 5 d. d. per savaitę) arba nuo 43 iki 47 d. d. (jeigu dirbama 6 d. d. per savaitę) kasmetinių atostogų;</w:t>
                          </w:r>
                        </w:p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6) fiksuotoji norma, taikoma, kai priklauso 40 d. d. (jeigu dirbama 5 d. d. per savaitę) arba 48 d. d. (jeigu dirbama 6 d. d. per savaitę) kasmetinių atostogų;</w:t>
                          </w:r>
                        </w:p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7) fiksuotoji norma, taikoma, kai priklauso nuo 41 d. d. (jeigu dirbama 5 d. d. per savaitę) arba nuo 49 d. d. (jeigu dirbama 6 d. d. per savaitę) kasmetinių atostogų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</w:tcPr>
                        <w:p w:rsidR="00E03843" w:rsidRDefault="000F13D2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lastRenderedPageBreak/>
                            <w:t>1) 8,63 proc.;</w:t>
                          </w:r>
                        </w:p>
                        <w:p w:rsidR="00E03843" w:rsidRDefault="000F13D2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2) 10,44 proc.;</w:t>
                          </w:r>
                        </w:p>
                        <w:p w:rsidR="00E03843" w:rsidRDefault="000F13D2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3) 12,35 proc.;</w:t>
                          </w:r>
                        </w:p>
                        <w:p w:rsidR="00E03843" w:rsidRDefault="000F13D2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4) 14,99 proc.;</w:t>
                          </w:r>
                        </w:p>
                        <w:p w:rsidR="00E03843" w:rsidRDefault="000F13D2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5) 17,25 proc.;</w:t>
                          </w:r>
                        </w:p>
                        <w:p w:rsidR="00E03843" w:rsidRDefault="000F13D2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6) 18,89 proc.;</w:t>
                          </w:r>
                        </w:p>
                        <w:p w:rsidR="00E03843" w:rsidRDefault="000F13D2">
                          <w:pPr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7) 20,02 proc.</w:t>
                          </w:r>
                        </w:p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.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Projekto dalyvio ir (arba) projektą vykdančio personalo vieno asmens kelionės į užsienį, t. y. vykimo į užsienį ir grįžimo iš jo, išlaidos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FĮ-32-01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  <w:lang w:val="en-GB"/>
                            </w:rPr>
                          </w:pPr>
                          <w:r>
                            <w:rPr>
                              <w:sz w:val="20"/>
                            </w:rPr>
                            <w:t>0</w:t>
                          </w:r>
                          <w:r>
                            <w:rPr>
                              <w:sz w:val="20"/>
                              <w:lang w:val="en-GB"/>
                            </w:rPr>
                            <w:t>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Projekto dalyvio ir (arba) projektą vykdančio personalo kelionės į užsienį fiksuotasis vieneto įkainis, kai kelionės į vieną pusę atstumas neviršija 99 km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Išlaidų dydis – 23 Eur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Projekto dalyvio ir (arba) projektą vykdančio personalo vieno asmens kelionės į užsienį, t. y. vykimo į užsienį ir grįžimo iš jo, išlaidos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FĮ-32-02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Projekto dalyvio ir (arba) projektą vykdančio personalo kelionės į užsienį fiksuotasis vieneto įkainis, kai kelionės į vieną pusę atstumas siekia nuo 100 km iki 499 km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Išlaidų dydis – 180 Eur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Projekto dalyvio ir (arba) projektą vykdančio personalo vieno asmens kelionės į užsienį, t. y. vykimo į užsienį ir grįžimo iš jo, išlaidos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FĮ-32-03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Projekto dalyvio ir (arba) projektą vykdančio personalo kelionės į užsienį fiksuotasis vieneto įkainis, kai kelionės į vieną pusę atstumas siekia nuo 500 km iki 1 999 km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Išlaidų dydis – 275 Eur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Projekto dalyvio ir (arba) projektą </w:t>
                          </w:r>
                          <w:r>
                            <w:rPr>
                              <w:sz w:val="20"/>
                            </w:rPr>
                            <w:lastRenderedPageBreak/>
                            <w:t>vykdančio personalo vieno asmens kelionės į užsienį, t. y. vykimo į užsienį ir grįžimo iš jo, išlaidos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lastRenderedPageBreak/>
                            <w:t>FĮ-32-04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 xml:space="preserve">Projekto dalyvio ir (arba) projektą </w:t>
                          </w:r>
                          <w:r>
                            <w:rPr>
                              <w:color w:val="000000"/>
                              <w:sz w:val="20"/>
                            </w:rPr>
                            <w:lastRenderedPageBreak/>
                            <w:t>vykdančio personalo kelionės į užsienį fiksuotasis vieneto įkainis, kai kelionės į vieną pusę atstumas siekia nuo 2 000 km iki 2 999 km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lastRenderedPageBreak/>
                            <w:t>Išlaidų dydis – 360 Eur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Projekto dalyvio ir (arba) projektą vykdančio personalo vieno asmens kelionės į užsienį, t. y. vykimo į užsienį ir grįžimo iš jo, išlaidos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FĮ-32-05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Projekto dalyvio ir (arba) projektą vykdančio personalo kelionės į užsienį fiksuotasis vieneto įkainis, kai kelionės į vieną pusę atstumas siekia nuo 3 000 km iki 3 999 km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Išlaidų dydis – 530 Eur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Projekto dalyvio ir (arba) projektą vykdančio personalo vieno asmens kelionės į užsienį, t. y. vykimo į užsienį ir grįžimo iš jo, išlaidos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FĮ-32-06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Projekto dalyvio ir (arba) projektą vykdančio personalo kelionės į užsienį fiksuotasis vieneto įkainis, kai kelionės į vieną pusę atstumas siekia nuo 4 000 km iki 7 999 km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Išlaidų dydis – 820 Eur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Projekto dalyvio ir (arba) projektą vykdančio personalo vieno asmens kelionės į užsienį, t. y. vykimo į užsienį ir grįžimo iš jo, išlaidos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FĮ-32-07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Projekto dalyvio ir (arba) projektą vykdančio personalo kelionės į užsienį fiksuotasis vieneto įkainis, kai kelionės į vieną pusę atstumas siekia 8 000 km ir daugiau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 xml:space="preserve">Išlaidų dydis – </w:t>
                          </w:r>
                        </w:p>
                        <w:p w:rsidR="00E03843" w:rsidRDefault="000F13D2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1 500 Eur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Fiksuotuosius vieneto įkainius sudaro darbuotojo gyvenamojo ploto nuomos užsienyje išlaidos, dienpinigiai ir kitos su komandiruote susijusios būtinosios išlaidos, patirtos komandiruočių metu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FĮ-34-01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Darbuotojo vienos dienos, praleistos komandiruotėje, fiksuotasis vieneto įkainis (kai komandiruotė trunka dvi ir daugiau dienų), kai vykstama į šalį, nustatytą 1-oje šalių grupėje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Išlaidų dydis – 134,53 Eur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Fiksuotuosius vieneto įkainius sudaro darbuotojo gyvenamojo ploto nuomos užsienyje išlaidos, dienpinigiai ir kitos su komandiruote susijusios būtinosios išlaidos, patirtos komandiruočių metu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FĮ-34-02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Darbuotojo vienos dienos, praleistos komandiruotėje, fiksuotasis vieneto įkainis (kai komandiruotė trunka dvi ir daugiau dienų), kai vykstama į šalį, nustatytą 2-oje šalių grupėje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Išlaidų dydis – 153,73 Eur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Fiksuotuosius vieneto įkainius sudaro darbuotojo gyvenamojo ploto nuomos užsienyje išlaidos, dienpinigiai ir kitos su komandiruote susijusios būtinosios </w:t>
                          </w:r>
                          <w:r>
                            <w:rPr>
                              <w:sz w:val="20"/>
                            </w:rPr>
                            <w:lastRenderedPageBreak/>
                            <w:t>išlaidos, patirtos komandiruočių metu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lastRenderedPageBreak/>
                            <w:t>FĮ-34-03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 xml:space="preserve">Darbuotojo vienos dienos, praleistos komandiruotėje, fiksuotasis vieneto įkainis (kai komandiruotė trunka dvi ir daugiau dienų), kai vykstama į šalį, </w:t>
                          </w:r>
                          <w:r>
                            <w:rPr>
                              <w:color w:val="000000"/>
                              <w:sz w:val="20"/>
                            </w:rPr>
                            <w:lastRenderedPageBreak/>
                            <w:t>nustatytą 3-oje šalių grupėje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lastRenderedPageBreak/>
                            <w:t>Išlaidų dydis – 175,7 Eur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Fiksuotuosius vieneto įkainius sudaro darbuotojo gyvenamojo ploto nuomos užsienyje išlaidos, dienpinigiai ir kitos su komandiruote susijusios būtinosios išlaidos, patirtos komandiruočių metu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FĮ-34-04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Darbuotojo vienos dienos, praleistos komandiruotėje, fiksuotasis vieneto įkainis (kai komandiruotė trunka dvi ir daugiau dienų), kai vykstama į šalį, nustatytą 4-oje šalių grupėje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Išlaidų dydis – 188,75 Eur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Fiksuotuosius vieneto įkainius sudaro darbuotojo gyvenamojo ploto nuomos užsienyje išlaidos, dienpinigiai ir kitos su komandiruote susijusios būtinosios išlaidos, patirtos komandiruočių metu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FĮ-34-05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Darbuotojo vienos dienos, praleistos komandiruotėje, fiksuotasis vieneto įkainis (kai komandiruotė trunka dvi ir daugiau dienų), kai vykstama į šalį, nustatytą 5-oje šalių grupėje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Išlaidų dydis – 211,55 Eur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Fiksuotuosius vieneto įkainius sudaro darbuotojo dienpinigiai ir kitos su komandiruote susijusios būtinosios išlaidos, patirtos komandiruočių metu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FĮ-34-06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Darbuotojo komandiruotės fiksuotasis vieneto įkainis (kai komandiruotė trunka vieną dieną), kai vykstama į šalį, nustatytą 6-oje grupėje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Išlaidų dydis – 78,61 Eur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Fiksuotuosius vieneto įkainius sudaro darbuotojo dienpinigiai ir kitos su komandiruote susijusios būtinosios išlaidos, patirtos komandiruočių metu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FĮ-34-07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Darbuotojo komandiruotės fiksuotasis vieneto įkainis (kai komandiruotė trunka vieną dieną), kai vykstama į šalį, nustatytą 7-oje grupėje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Išlaidų dydis – 89,61 Eur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Fiksuotuosius vieneto įkainius sudaro darbuotojo dienpinigiai ir kitos su komandiruote susijusios būtinosios išlaidos, patirtos komandiruočių metu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FĮ-34-08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Darbuotojo komandiruotės fiksuotasis vieneto įkainis (kai komandiruotė trunka vieną dieną), kai vykstama į šalį, nustatytą 8-oje grupėje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Išlaidų dydis – 101,11 Eur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Fiksuotuosius vieneto įkainius sudaro darbuotojo dienpinigiai ir kitos su komandiruote susijusios būtinosios išlaidos, patirtos komandiruočių metu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FĮ-34-09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Darbuotojo komandiruotės fiksuotasis vieneto įkainis (kai komandiruotė trunka vieną dieną), kai vykstama į šalį, nustatytą 9-oje grupėje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Išlaidų dydis – 108,11 Eur</w:t>
                          </w:r>
                        </w:p>
                      </w:tc>
                    </w:tr>
                    <w:tr w:rsidR="00E03843">
                      <w:tc>
                        <w:tcPr>
                          <w:tcW w:w="2205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Fiksuotuosius vieneto įkainius sudaro darbuotojo dienpinigiai ir kitos su komandiruote susijusios būtinosios išlaidos, patirtos komandiruočių metu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FĮ-34-10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E03843" w:rsidRDefault="000F13D2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 xml:space="preserve">Darbuotojo komandiruotės fiksuotasis vieneto įkainis (kai komandiruotė trunka vieną dieną), kai vykstama į šalį, </w:t>
                          </w:r>
                          <w:r>
                            <w:rPr>
                              <w:color w:val="000000"/>
                              <w:sz w:val="20"/>
                            </w:rPr>
                            <w:lastRenderedPageBreak/>
                            <w:t>nustatytą 10-oje grupėje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E03843" w:rsidRDefault="000F13D2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lastRenderedPageBreak/>
                            <w:t>Išlaidų dydis – 119,11 Eur“</w:t>
                          </w:r>
                        </w:p>
                      </w:tc>
                    </w:tr>
                  </w:tbl>
                  <w:p w:rsidR="00E03843" w:rsidRDefault="00E03843">
                    <w:pPr>
                      <w:jc w:val="both"/>
                      <w:rPr>
                        <w:iCs/>
                        <w:sz w:val="22"/>
                        <w:szCs w:val="22"/>
                      </w:rPr>
                    </w:pPr>
                  </w:p>
                </w:tc>
              </w:tr>
            </w:tbl>
            <w:p w:rsidR="00E03843" w:rsidRDefault="00111958">
              <w:pPr>
                <w:overflowPunct w:val="0"/>
                <w:ind w:left="709"/>
                <w:jc w:val="both"/>
                <w:textAlignment w:val="baseline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8e903c71dabb4eecb3b8f6b6019643e9"/>
            <w:id w:val="-372689442"/>
            <w:lock w:val="sdtLocked"/>
          </w:sdtPr>
          <w:sdtEndPr/>
          <w:sdtContent>
            <w:bookmarkStart w:id="0" w:name="_GoBack" w:displacedByCustomXml="prev"/>
            <w:p w:rsidR="00111958" w:rsidRDefault="00111958" w:rsidP="000F13D2">
              <w:pPr>
                <w:tabs>
                  <w:tab w:val="left" w:pos="7513"/>
                </w:tabs>
                <w:overflowPunct w:val="0"/>
                <w:textAlignment w:val="baseline"/>
              </w:pPr>
            </w:p>
            <w:p w:rsidR="00111958" w:rsidRDefault="00111958" w:rsidP="000F13D2">
              <w:pPr>
                <w:tabs>
                  <w:tab w:val="left" w:pos="7513"/>
                </w:tabs>
                <w:overflowPunct w:val="0"/>
                <w:textAlignment w:val="baseline"/>
              </w:pPr>
            </w:p>
            <w:p w:rsidR="00E03843" w:rsidRDefault="000F13D2" w:rsidP="000F13D2">
              <w:pPr>
                <w:tabs>
                  <w:tab w:val="left" w:pos="7513"/>
                </w:tabs>
                <w:overflowPunct w:val="0"/>
                <w:textAlignment w:val="baseline"/>
                <w:rPr>
                  <w:color w:val="000000"/>
                  <w:szCs w:val="24"/>
                </w:rPr>
              </w:pPr>
              <w:r>
                <w:rPr>
                  <w:szCs w:val="24"/>
                </w:rPr>
                <w:t xml:space="preserve">Švietimo, mokslo ir sporto ministras </w:t>
              </w:r>
              <w:r>
                <w:rPr>
                  <w:szCs w:val="24"/>
                </w:rPr>
                <w:tab/>
                <w:t>Gintautas Jakštas</w:t>
              </w:r>
            </w:p>
            <w:p w:rsidR="00E03843" w:rsidRPr="000F13D2" w:rsidRDefault="00E03843">
              <w:pPr>
                <w:rPr>
                  <w:szCs w:val="24"/>
                </w:rPr>
              </w:pPr>
            </w:p>
            <w:p w:rsidR="00E03843" w:rsidRPr="000F13D2" w:rsidRDefault="00E03843">
              <w:pPr>
                <w:spacing w:line="259" w:lineRule="auto"/>
                <w:rPr>
                  <w:szCs w:val="24"/>
                </w:rPr>
              </w:pPr>
            </w:p>
            <w:p w:rsidR="00E03843" w:rsidRPr="000F13D2" w:rsidRDefault="00E03843">
              <w:pPr>
                <w:rPr>
                  <w:szCs w:val="24"/>
                </w:rPr>
              </w:pPr>
            </w:p>
            <w:p w:rsidR="00E03843" w:rsidRDefault="000F13D2">
              <w:pPr>
                <w:spacing w:line="259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SUDERINTA</w:t>
              </w:r>
            </w:p>
            <w:p w:rsidR="00E03843" w:rsidRDefault="00E03843">
              <w:pPr>
                <w:rPr>
                  <w:sz w:val="2"/>
                  <w:szCs w:val="2"/>
                </w:rPr>
              </w:pPr>
            </w:p>
            <w:p w:rsidR="00E03843" w:rsidRDefault="000F13D2">
              <w:pPr>
                <w:spacing w:line="259" w:lineRule="auto"/>
                <w:jc w:val="both"/>
                <w:rPr>
                  <w:color w:val="000000"/>
                  <w:szCs w:val="24"/>
                  <w:lang w:eastAsia="en-GB"/>
                </w:rPr>
              </w:pPr>
              <w:r>
                <w:rPr>
                  <w:color w:val="000000"/>
                  <w:szCs w:val="24"/>
                  <w:lang w:eastAsia="en-GB"/>
                </w:rPr>
                <w:t xml:space="preserve">Viešosios įstaigos Centrinės projektų </w:t>
              </w:r>
            </w:p>
            <w:p w:rsidR="00E03843" w:rsidRDefault="000F13D2">
              <w:pPr>
                <w:spacing w:line="259" w:lineRule="auto"/>
                <w:jc w:val="both"/>
                <w:rPr>
                  <w:color w:val="000000"/>
                  <w:szCs w:val="24"/>
                  <w:lang w:eastAsia="en-GB"/>
                </w:rPr>
              </w:pPr>
              <w:r>
                <w:rPr>
                  <w:color w:val="000000"/>
                  <w:szCs w:val="24"/>
                  <w:lang w:eastAsia="en-GB"/>
                </w:rPr>
                <w:t xml:space="preserve">valdymo agentūros 2023-08-14 raštu </w:t>
              </w:r>
            </w:p>
            <w:p w:rsidR="00E03843" w:rsidRDefault="000F13D2">
              <w:pPr>
                <w:spacing w:line="259" w:lineRule="auto"/>
                <w:jc w:val="both"/>
                <w:rPr>
                  <w:color w:val="000000"/>
                  <w:szCs w:val="24"/>
                  <w:lang w:val="en-GB" w:eastAsia="en-GB"/>
                </w:rPr>
              </w:pPr>
              <w:r>
                <w:rPr>
                  <w:color w:val="000000"/>
                  <w:szCs w:val="24"/>
                  <w:lang w:eastAsia="en-GB"/>
                </w:rPr>
                <w:t>Nr. 2023/2-6059</w:t>
              </w:r>
            </w:p>
            <w:bookmarkEnd w:id="0" w:displacedByCustomXml="next"/>
          </w:sdtContent>
        </w:sdt>
      </w:sdtContent>
    </w:sdt>
    <w:sectPr w:rsidR="00E03843" w:rsidSect="0011195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34" w:right="567" w:bottom="1134" w:left="1701" w:header="709" w:footer="709" w:gutter="0"/>
      <w:pgNumType w:start="1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3843" w:rsidRDefault="000F13D2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endnote>
  <w:endnote w:type="continuationSeparator" w:id="0">
    <w:p w:rsidR="00E03843" w:rsidRDefault="000F13D2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3843" w:rsidRDefault="000F13D2">
    <w:pPr>
      <w:framePr w:wrap="auto" w:vAnchor="text" w:hAnchor="margin" w:xAlign="right" w:y="1"/>
      <w:tabs>
        <w:tab w:val="center" w:pos="4513"/>
        <w:tab w:val="right" w:pos="9026"/>
      </w:tabs>
      <w:rPr>
        <w:sz w:val="22"/>
        <w:szCs w:val="22"/>
        <w:lang w:val="en-GB"/>
      </w:rPr>
    </w:pPr>
    <w:r>
      <w:rPr>
        <w:sz w:val="22"/>
        <w:szCs w:val="22"/>
        <w:lang w:val="en-GB"/>
      </w:rPr>
      <w:fldChar w:fldCharType="begin"/>
    </w:r>
    <w:r>
      <w:rPr>
        <w:sz w:val="22"/>
        <w:szCs w:val="22"/>
        <w:lang w:val="en-GB"/>
      </w:rPr>
      <w:instrText xml:space="preserve">PAGE  </w:instrText>
    </w:r>
    <w:r>
      <w:rPr>
        <w:sz w:val="22"/>
        <w:szCs w:val="22"/>
        <w:lang w:val="en-GB"/>
      </w:rPr>
      <w:fldChar w:fldCharType="separate"/>
    </w:r>
    <w:r>
      <w:rPr>
        <w:sz w:val="22"/>
        <w:szCs w:val="22"/>
        <w:lang w:val="en-GB"/>
      </w:rPr>
      <w:t>6</w:t>
    </w:r>
    <w:r>
      <w:rPr>
        <w:sz w:val="22"/>
        <w:szCs w:val="22"/>
        <w:lang w:val="en-GB"/>
      </w:rPr>
      <w:fldChar w:fldCharType="end"/>
    </w:r>
  </w:p>
  <w:p w:rsidR="00E03843" w:rsidRDefault="00E03843">
    <w:pPr>
      <w:tabs>
        <w:tab w:val="center" w:pos="4513"/>
        <w:tab w:val="right" w:pos="9026"/>
      </w:tabs>
      <w:ind w:right="360"/>
      <w:rPr>
        <w:sz w:val="22"/>
        <w:szCs w:val="22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3843" w:rsidRDefault="00E03843">
    <w:pPr>
      <w:tabs>
        <w:tab w:val="center" w:pos="4513"/>
        <w:tab w:val="right" w:pos="9026"/>
      </w:tabs>
      <w:ind w:right="360"/>
      <w:rPr>
        <w:sz w:val="22"/>
        <w:szCs w:val="22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3843" w:rsidRDefault="00E03843">
    <w:pPr>
      <w:tabs>
        <w:tab w:val="center" w:pos="4513"/>
        <w:tab w:val="right" w:pos="9026"/>
      </w:tabs>
      <w:rPr>
        <w:sz w:val="22"/>
        <w:szCs w:val="22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3843" w:rsidRDefault="000F13D2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footnote>
  <w:footnote w:type="continuationSeparator" w:id="0">
    <w:p w:rsidR="00E03843" w:rsidRDefault="000F13D2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3843" w:rsidRDefault="00E03843">
    <w:pPr>
      <w:tabs>
        <w:tab w:val="center" w:pos="4513"/>
        <w:tab w:val="right" w:pos="9026"/>
      </w:tabs>
      <w:rPr>
        <w:sz w:val="22"/>
        <w:szCs w:val="22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3843" w:rsidRDefault="000F13D2" w:rsidP="00111958">
    <w:pPr>
      <w:tabs>
        <w:tab w:val="center" w:pos="4513"/>
        <w:tab w:val="right" w:pos="9026"/>
      </w:tabs>
      <w:jc w:val="center"/>
      <w:rPr>
        <w:szCs w:val="24"/>
        <w:lang w:val="en-GB"/>
      </w:rPr>
    </w:pPr>
    <w:r>
      <w:rPr>
        <w:szCs w:val="24"/>
        <w:lang w:val="en-GB"/>
      </w:rPr>
      <w:fldChar w:fldCharType="begin"/>
    </w:r>
    <w:r>
      <w:rPr>
        <w:szCs w:val="24"/>
        <w:lang w:val="en-GB"/>
      </w:rPr>
      <w:instrText>PAGE   \* MERGEFORMAT</w:instrText>
    </w:r>
    <w:r>
      <w:rPr>
        <w:szCs w:val="24"/>
        <w:lang w:val="en-GB"/>
      </w:rPr>
      <w:fldChar w:fldCharType="separate"/>
    </w:r>
    <w:r w:rsidR="00111958" w:rsidRPr="00111958">
      <w:rPr>
        <w:noProof/>
        <w:szCs w:val="24"/>
      </w:rPr>
      <w:t>3</w:t>
    </w:r>
    <w:r>
      <w:rPr>
        <w:szCs w:val="24"/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3843" w:rsidRDefault="00E03843">
    <w:pPr>
      <w:tabs>
        <w:tab w:val="center" w:pos="4513"/>
        <w:tab w:val="right" w:pos="9026"/>
      </w:tabs>
      <w:rPr>
        <w:sz w:val="22"/>
        <w:szCs w:val="22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912"/>
    <w:rsid w:val="000F13D2"/>
    <w:rsid w:val="00111958"/>
    <w:rsid w:val="00172912"/>
    <w:rsid w:val="00E03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tilde-lv/tildestengine" w:name="firmas"/>
  <w:shapeDefaults>
    <o:shapedefaults v:ext="edit" spidmax="12289"/>
    <o:shapelayout v:ext="edit">
      <o:idmap v:ext="edit" data="1"/>
    </o:shapelayout>
  </w:shapeDefaults>
  <w:decimalSymbol w:val=","/>
  <w:listSeparator w:val=";"/>
  <w14:docId w14:val="3224678E"/>
  <w15:docId w15:val="{52AEB679-3FA8-4B89-AF04-C2B885A22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1195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145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8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26C616AB-D56D-477E-B9D2-FAE3B789E7CB}"/>
      </w:docPartPr>
      <w:docPartBody>
        <w:p w:rsidR="00000000" w:rsidRDefault="004846D2">
          <w:r w:rsidRPr="00203AC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6D2"/>
    <w:rsid w:val="00484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846D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cb8b9f4016f49269257ef6953d491bb" PartId="c56bd9cfd1d34d5faf46b75c5c67b702">
    <Part Type="pastraipa" DocPartId="1f7575c18c024aefb1498a09de847b92" PartId="efb1ddcbcfe143cbb363f4ce9efa09db"/>
    <Part Type="punktas" Nr="1" Abbr="1 p." DocPartId="971ebb3588b44bf9b050ecebc0b1263d" PartId="67b9e09145214f5f8be31d42d2420b19">
      <Part Type="papunktis" Nr="1.1" Abbr="1.1 pp." DocPartId="6d320937d2374149832e9ff252518d45" PartId="aede4eba489f4dada44ce4791235bfe2">
        <Part Type="citata" DocPartId="b2d1731c69f7433f8c48b850ba707ba1" PartId="7d5076a044024f1ca37c14f753928ec5">
          <Part Type="papunktis" Nr="2.1.1" Abbr="2.1.1 pp." DocPartId="c0e3df681b4e492fafcc4dd6f0256a98" PartId="ce21498371134a8bb7a406b4a72b4b8e"/>
        </Part>
      </Part>
      <Part Type="papunktis" Nr="1.2" Abbr="1.2 pp." DocPartId="2c4666ac15124b1e888219050873f93d" PartId="410dfdba5fed421393e8cd7a76f00cdc">
        <Part Type="citata" DocPartId="fa31a81417474787972e7cb41dc9484d" PartId="d1d0daaf1484433684db73afa1d772aa">
          <Part Type="papunktis" Nr="2.5.2" Abbr="2.5.2 pp." DocPartId="2b7af70fc4ac46d7991aaf1d31b19545" PartId="a537ae247c6743f897d3b2ca6304513c"/>
        </Part>
      </Part>
      <Part Type="papunktis" Nr="1.3" Abbr="1.3 pp." DocPartId="008fd3d06b9f48768b8d167455f9830f" PartId="d485096e808a4e84bc1508e9f996cc80">
        <Part Type="citata" DocPartId="adf380e8a262488ba4187408c4e9917e" PartId="b201126bc0164df598c8250959d7a9a8">
          <Part Type="papunktis" Nr="2.6.3" Abbr="2.6.3 pp." DocPartId="833f300e38ae4d698422fdaa0d6006d6" PartId="22f0cd135c484e9e83ce9e0addf4333a"/>
        </Part>
      </Part>
      <Part Type="papunktis" Nr="1.4" Abbr="1.4 pp." DocPartId="834ddcc769ec4a25a616792f4c0ae13e" PartId="6ff6c3ffe1ab4235be2115ecbbf4693f">
        <Part Type="citata" DocPartId="f382b189752b4452bbcd3de1506af4c2" PartId="f38b4c4d3c78495fa7d855b60c972e74">
          <Part Type="papunktis" Nr="2.8-1" Abbr="2.8-1 pp." DocPartId="fc1bc9bab772474eb60e89250de6e868" PartId="359b51409dff4685a442c57728348399"/>
        </Part>
      </Part>
      <Part Type="papunktis" Nr="1.5" Abbr="1.5 pp." DocPartId="46d5c1b4cb314613823ce6bdc84a3136" PartId="32fa0a7d1a46408ea76b705332601a49">
        <Part Type="citata" DocPartId="e04141b8db7e4f1fb0eca03081e38832" PartId="d8b1ef243ca547a49525db928176f36b">
          <Part Type="papunktis" Nr="2.14.2" Abbr="2.14.2 pp." DocPartId="0139896ac1df4f7d9dc80bde924bff3b" PartId="59124db75fc445aa955e8c0c30882e68"/>
        </Part>
      </Part>
      <Part Type="papunktis" Nr="1.6" Abbr="1.6 pp." DocPartId="2c294d42acac42f980a97e8afd60714b" PartId="d0b52d120ebc40669bfe4726c0a6f994">
        <Part Type="citata" DocPartId="67b0b967bc7747edb612d822ec758632" PartId="ef37bec24fe842e6afd643eaf25b0558">
          <Part Type="papunktis" Nr="5.2.1" Abbr="5.2.1 pp." DocPartId="65529d0e42984e5f92a44350924eeb53" PartId="de9207b83925457488e28b54e0658400"/>
        </Part>
      </Part>
      <Part Type="papunktis" Nr="1.7" Abbr="1.7 pp." DocPartId="5c817f6ca64b45cf92df0c3927011c07" PartId="64470fb3e7a14198a78beb0f3a8c0067">
        <Part Type="citata" DocPartId="125aaf80f2d34df8999c0741fe957d20" PartId="eecff6869b5d4ed99e23a83eb8973d2c">
          <Part Type="papunktis" Nr="5.4" Abbr="5.4 pp." DocPartId="e7c18ae4641c4106b823e3e94b5e266a" PartId="ed809a6ca8e6409ab5505c7217de4d46"/>
        </Part>
      </Part>
      <Part Type="papunktis" Nr="1.8" Abbr="1.8 pp." DocPartId="0fc8aee5a22f4835b3e723d14abe4cec" PartId="bbc86f60e8f74a48ae27bea4f43c2121"/>
    </Part>
    <Part Type="punktas" Nr="2" Abbr="2 p." DocPartId="d0aa89ef268040de890617e47c0f9e87" PartId="91ead6488a0b4792a8ff8efa105c8905"/>
    <Part Type="signatura" DocPartId="94d41f562c8341b1aa3f89e116ac9e66" PartId="8e903c71dabb4eecb3b8f6b6019643e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E6F6CA-A2B1-4995-8E25-BDE117D2660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098463C-EE83-4BC5-AEBD-8932D769F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11</Pages>
  <Words>13481</Words>
  <Characters>7685</Characters>
  <Application>Microsoft Office Word</Application>
  <DocSecurity>0</DocSecurity>
  <Lines>64</Lines>
  <Paragraphs>42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21124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Gaidamavičienė Agnė</dc:creator>
  <cp:lastModifiedBy>JŪRĖNIENĖ Jolanta</cp:lastModifiedBy>
  <cp:revision>4</cp:revision>
  <cp:lastPrinted>2023-01-30T08:47:00Z</cp:lastPrinted>
  <dcterms:created xsi:type="dcterms:W3CDTF">2023-09-05T05:09:00Z</dcterms:created>
  <dcterms:modified xsi:type="dcterms:W3CDTF">2023-09-05T12:17:00Z</dcterms:modified>
</cp:coreProperties>
</file>