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50" w14:textId="77777777" w:rsidR="00C14C45" w:rsidRDefault="00C14C45">
      <w:pPr>
        <w:tabs>
          <w:tab w:val="center" w:pos="4819"/>
          <w:tab w:val="right" w:pos="9638"/>
        </w:tabs>
      </w:pPr>
    </w:p>
    <w:p w14:paraId="3D646D51" w14:textId="77777777" w:rsidR="00C14C45" w:rsidRDefault="0031621B">
      <w:pPr>
        <w:tabs>
          <w:tab w:val="left" w:pos="2694"/>
          <w:tab w:val="left" w:pos="6203"/>
        </w:tabs>
        <w:jc w:val="center"/>
      </w:pPr>
      <w:r>
        <w:object w:dxaOrig="753" w:dyaOrig="830" w14:anchorId="3D646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1.35pt" o:ole="" fillcolor="window">
            <v:imagedata r:id="rId8" o:title=""/>
          </v:shape>
          <o:OLEObject Type="Embed" ProgID="Word.Picture.8" ShapeID="_x0000_i1025" DrawAspect="Content" ObjectID="_1646144614" r:id="rId9"/>
        </w:object>
      </w:r>
    </w:p>
    <w:p w14:paraId="3D646D52" w14:textId="77777777" w:rsidR="00C14C45" w:rsidRDefault="00C14C45">
      <w:pPr>
        <w:tabs>
          <w:tab w:val="left" w:pos="3284"/>
          <w:tab w:val="left" w:pos="6203"/>
        </w:tabs>
        <w:jc w:val="center"/>
        <w:rPr>
          <w:b/>
          <w:sz w:val="28"/>
          <w:szCs w:val="28"/>
          <w:lang w:eastAsia="lt-LT"/>
        </w:rPr>
      </w:pPr>
    </w:p>
    <w:p w14:paraId="3D646D53" w14:textId="77777777" w:rsidR="00C14C45" w:rsidRDefault="0031621B">
      <w:pPr>
        <w:tabs>
          <w:tab w:val="left" w:pos="3284"/>
          <w:tab w:val="left" w:pos="6203"/>
        </w:tabs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LIETUVOS RESPUBLIKOS SUSISIEKIMO MINISTRAS</w:t>
      </w:r>
    </w:p>
    <w:p w14:paraId="3D646D54" w14:textId="77777777" w:rsidR="00C14C45" w:rsidRDefault="00C14C45">
      <w:pPr>
        <w:jc w:val="center"/>
        <w:rPr>
          <w:b/>
          <w:sz w:val="28"/>
          <w:szCs w:val="28"/>
          <w:lang w:eastAsia="lt-LT"/>
        </w:rPr>
      </w:pPr>
    </w:p>
    <w:p w14:paraId="3D646D55" w14:textId="77777777" w:rsidR="00C14C45" w:rsidRDefault="0031621B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ĮSAKYMAS</w:t>
      </w:r>
    </w:p>
    <w:p w14:paraId="3D646D56" w14:textId="77777777" w:rsidR="00C14C45" w:rsidRDefault="00316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DĖL LIETUVOS RESPUBLIKOS SUSISIEKIMO MINISTRO </w:t>
      </w:r>
    </w:p>
    <w:p w14:paraId="3D646D57" w14:textId="77777777" w:rsidR="00C14C45" w:rsidRDefault="0031621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2017 m. lapkričio 28 d. įsakymO Nr. </w:t>
      </w:r>
      <w:r>
        <w:rPr>
          <w:b/>
          <w:bCs/>
          <w:caps/>
          <w:sz w:val="28"/>
          <w:szCs w:val="28"/>
        </w:rPr>
        <w:t>3-562</w:t>
      </w:r>
      <w:r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  <w:lang w:eastAsia="lt-LT"/>
        </w:rPr>
        <w:t xml:space="preserve">DĖL 2014–2020 METŲ EUROPOS SĄJUNGOS FONDŲ INVESTICIJŲ VEIKSMŲ PROGRAMOS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PRIORITETO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„Energijos efektyvumo ir atsinaujinančių išteklių energijos gamybos ir naudojimo skatinimas“</w:t>
      </w:r>
      <w:r>
        <w:t xml:space="preserve"> </w:t>
      </w:r>
      <w:r>
        <w:rPr>
          <w:b/>
          <w:caps/>
          <w:sz w:val="28"/>
          <w:szCs w:val="28"/>
        </w:rPr>
        <w:t>04.5.1-TID-R-514 priemonės „Darnaus judumo priemonių diegimas“</w:t>
      </w:r>
      <w:r>
        <w:t xml:space="preserve"> </w:t>
      </w:r>
      <w:r>
        <w:rPr>
          <w:b/>
          <w:sz w:val="28"/>
          <w:szCs w:val="28"/>
        </w:rPr>
        <w:t xml:space="preserve"> PROJEKTŲ FINANSAVIMO SĄLYGŲ APRAŠO </w:t>
      </w:r>
      <w:r>
        <w:rPr>
          <w:b/>
          <w:sz w:val="28"/>
          <w:szCs w:val="28"/>
          <w:lang w:eastAsia="lt-LT"/>
        </w:rPr>
        <w:t>PATVIRTINIMO</w:t>
      </w:r>
      <w:r>
        <w:rPr>
          <w:b/>
          <w:sz w:val="28"/>
          <w:szCs w:val="28"/>
        </w:rPr>
        <w:t>“ PAKEITIMO</w:t>
      </w:r>
    </w:p>
    <w:p w14:paraId="3D646D58" w14:textId="77777777" w:rsidR="00C14C45" w:rsidRDefault="00C14C45">
      <w:pPr>
        <w:jc w:val="center"/>
        <w:rPr>
          <w:lang w:eastAsia="lt-LT"/>
        </w:rPr>
      </w:pPr>
    </w:p>
    <w:p w14:paraId="3D646D59" w14:textId="77777777" w:rsidR="00C14C45" w:rsidRDefault="0031621B">
      <w:pPr>
        <w:jc w:val="center"/>
        <w:rPr>
          <w:lang w:eastAsia="lt-LT"/>
        </w:rPr>
      </w:pPr>
      <w:r>
        <w:rPr>
          <w:lang w:eastAsia="lt-LT"/>
        </w:rPr>
        <w:t xml:space="preserve">2020 m. kovo </w:t>
      </w:r>
      <w:r>
        <w:rPr>
          <w:lang w:val="en-US" w:eastAsia="lt-LT"/>
        </w:rPr>
        <w:t>19</w:t>
      </w:r>
      <w:r>
        <w:rPr>
          <w:lang w:eastAsia="lt-LT"/>
        </w:rPr>
        <w:t xml:space="preserve"> d. Nr. A1-15</w:t>
      </w:r>
      <w:r>
        <w:rPr>
          <w:lang w:eastAsia="lt-LT"/>
        </w:rPr>
        <w:t>1</w:t>
      </w:r>
    </w:p>
    <w:p w14:paraId="3D646D5A" w14:textId="77777777" w:rsidR="00C14C45" w:rsidRDefault="0031621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D646D5B" w14:textId="77777777" w:rsidR="00C14C45" w:rsidRDefault="00C14C45">
      <w:pPr>
        <w:jc w:val="center"/>
        <w:rPr>
          <w:lang w:eastAsia="lt-LT"/>
        </w:rPr>
      </w:pPr>
    </w:p>
    <w:p w14:paraId="3D646D5C" w14:textId="77777777" w:rsidR="00C14C45" w:rsidRDefault="00C14C45">
      <w:pPr>
        <w:jc w:val="center"/>
        <w:rPr>
          <w:lang w:eastAsia="lt-LT"/>
        </w:rPr>
      </w:pPr>
    </w:p>
    <w:p w14:paraId="3D646D5D" w14:textId="77777777" w:rsidR="00C14C45" w:rsidRDefault="0031621B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 xml:space="preserve">P a k e i č i u </w:t>
      </w:r>
      <w:r>
        <w:rPr>
          <w:lang w:eastAsia="lt-LT"/>
        </w:rPr>
        <w:t xml:space="preserve">2014–2020 metų Europos Sąjungos fondų investicijų veiksmų programos </w:t>
      </w:r>
      <w:r>
        <w:rPr>
          <w:lang w:eastAsia="lt-LT"/>
        </w:rPr>
        <w:br/>
      </w:r>
      <w:r>
        <w:t xml:space="preserve">4 prioriteto „Energijos efektyvumo ir atsinaujinančių išteklių energijos gamybos ir naudojimo skatinimas“ 04.5.1-TID-R-514 priemonės „Darnaus </w:t>
      </w:r>
      <w:proofErr w:type="spellStart"/>
      <w:r>
        <w:t>judumo</w:t>
      </w:r>
      <w:proofErr w:type="spellEnd"/>
      <w:r>
        <w:t xml:space="preserve"> priemonių </w:t>
      </w:r>
      <w:r>
        <w:t>diegimas“ projektų finansavimo sąlygų aprašą</w:t>
      </w:r>
      <w:r>
        <w:rPr>
          <w:lang w:eastAsia="lt-LT"/>
        </w:rPr>
        <w:t>, patvirtintą</w:t>
      </w:r>
      <w:r>
        <w:rPr>
          <w:szCs w:val="24"/>
        </w:rPr>
        <w:t xml:space="preserve"> Lietuvos Respublikos susisiekimo ministro 2017 m. </w:t>
      </w:r>
      <w:r>
        <w:t>lapkričio 28 d. įsakymu Nr. 3-562</w:t>
      </w:r>
      <w:r>
        <w:rPr>
          <w:szCs w:val="24"/>
        </w:rPr>
        <w:t xml:space="preserve"> „Dėl </w:t>
      </w:r>
      <w:r>
        <w:rPr>
          <w:lang w:eastAsia="lt-LT"/>
        </w:rPr>
        <w:t xml:space="preserve">2014–2020 metų Europos Sąjungos fondų investicijų veiksmų programos </w:t>
      </w:r>
      <w:r>
        <w:t>4 prioriteto „Energijos efektyvumo ir ats</w:t>
      </w:r>
      <w:r>
        <w:t xml:space="preserve">inaujinančių išteklių energijos gamybos ir naudojimo skatinimas“ 04.5.1-TID-R-514 priemonės „Darnaus </w:t>
      </w:r>
      <w:proofErr w:type="spellStart"/>
      <w:r>
        <w:t>judumo</w:t>
      </w:r>
      <w:proofErr w:type="spellEnd"/>
      <w:r>
        <w:t xml:space="preserve"> priemonių diegimas“ projektų finansavimo sąlygų aprašo </w:t>
      </w:r>
      <w:r>
        <w:rPr>
          <w:szCs w:val="24"/>
        </w:rPr>
        <w:t>patvirtinimo“:</w:t>
      </w:r>
    </w:p>
    <w:p w14:paraId="3D646D5E" w14:textId="77777777" w:rsidR="00C14C45" w:rsidRDefault="0031621B">
      <w:pPr>
        <w:tabs>
          <w:tab w:val="left" w:pos="720"/>
        </w:tabs>
        <w:ind w:left="1069" w:hanging="360"/>
        <w:jc w:val="both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t xml:space="preserve">Pakeičiu 16.1 papunktį ir jį išdėstau taip:  </w:t>
      </w:r>
    </w:p>
    <w:p w14:paraId="3D646D5F" w14:textId="77777777" w:rsidR="00C14C45" w:rsidRDefault="0031621B">
      <w:pPr>
        <w:tabs>
          <w:tab w:val="left" w:pos="720"/>
        </w:tabs>
        <w:ind w:firstLine="720"/>
        <w:jc w:val="both"/>
      </w:pPr>
      <w:r>
        <w:t>„</w:t>
      </w:r>
      <w:r>
        <w:t>16.1</w:t>
      </w:r>
      <w:r>
        <w:t xml:space="preserve">. </w:t>
      </w:r>
      <w:r>
        <w:rPr>
          <w:color w:val="000000"/>
          <w:szCs w:val="24"/>
        </w:rPr>
        <w:t xml:space="preserve">esami ar būsimi viešosios transporto infrastruktūros ir (arba) intelektinės transporto sistemos, susijusios su planuojama pagal projektą vykdyti veikla, valdytojai (juridiniai asmenys), </w:t>
      </w:r>
      <w:r>
        <w:t>Lietuvos automobilių kelių direkcija prie Susisiekimo ministerijos;“.</w:t>
      </w:r>
    </w:p>
    <w:p w14:paraId="3D646D60" w14:textId="77777777" w:rsidR="00C14C45" w:rsidRDefault="0031621B">
      <w:pPr>
        <w:tabs>
          <w:tab w:val="left" w:pos="720"/>
          <w:tab w:val="left" w:pos="993"/>
        </w:tabs>
        <w:ind w:firstLine="709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t>Pakeičiu 52 punktą ir jį išdėstau taip:</w:t>
      </w:r>
    </w:p>
    <w:p w14:paraId="3D646D61" w14:textId="77777777" w:rsidR="00C14C45" w:rsidRDefault="0031621B">
      <w:pPr>
        <w:tabs>
          <w:tab w:val="left" w:pos="0"/>
        </w:tabs>
        <w:ind w:firstLine="709"/>
        <w:jc w:val="both"/>
      </w:pPr>
      <w:r>
        <w:t>„</w:t>
      </w:r>
      <w:r>
        <w:t>52</w:t>
      </w:r>
      <w:r>
        <w:t>.</w:t>
      </w:r>
      <w:r>
        <w:rPr>
          <w:i/>
          <w:iCs/>
        </w:rPr>
        <w:t xml:space="preserve"> </w:t>
      </w:r>
      <w:r>
        <w:t>Savivaldybių vykdomosios institucijos (toliau – savivaldybių institucijos) turi regiono plėtros tarybos sekretoriatui raštu pateikti projektinius pasiūlymus dėl regiono projektų įgyvendinimo (toliau – projektinis pasiūlymas) pagal formą, nustatytą Iš Europ</w:t>
      </w:r>
      <w:r>
        <w:t>os Sąjungos struktūrinių fondų lėšų bendrai finansuojamų regionų projektų atrankos tvarkos apraše, patvirtintame Lietuvos Respublikos vidaus reikalų ministro 2014 m. gruodžio 22 d. įsakymu Nr. 1V-893 „Dėl Iš Europos Sąjungos struktūrinių fondų lėšų bendrai</w:t>
      </w:r>
      <w:r>
        <w:t xml:space="preserve"> finansuojamų regionų projektų atrankos tvarkos aprašo patvirtinimo“, kuris skelbiamas ES struktūrinių fondų svetainėje </w:t>
      </w:r>
      <w:proofErr w:type="spellStart"/>
      <w:r>
        <w:t>www.esinvesticijos.lt</w:t>
      </w:r>
      <w:proofErr w:type="spellEnd"/>
      <w:r>
        <w:t>. Kartu su projektiniu pasiūlymu pareiškėjai turi pateikti investicijų projektą, parengtą pagal Investicijų projekt</w:t>
      </w:r>
      <w:r>
        <w:t xml:space="preserve">ų, kuriems siekiama gauti finansavimą iš Europos Sąjungos struktūrinės paramos ir / ar valstybės biudžeto lėšų, rengimo metodiką, patvirtintą </w:t>
      </w:r>
      <w:proofErr w:type="spellStart"/>
      <w:r>
        <w:t>VšĮ</w:t>
      </w:r>
      <w:proofErr w:type="spellEnd"/>
      <w:r>
        <w:t xml:space="preserve"> Centrinės projektų valdymo agentūros direktoriaus 2019 m. rugpjūčio 14 d. įsakymu Nr. 2019/8-214 (toliau – Inv</w:t>
      </w:r>
      <w:r>
        <w:t xml:space="preserve">esticijų projektų rengimo metodika), kuri skelbiama ES struktūrinių fondų svetainėje </w:t>
      </w:r>
      <w:proofErr w:type="spellStart"/>
      <w:r>
        <w:t>www.esinvesticijos.lt</w:t>
      </w:r>
      <w:proofErr w:type="spellEnd"/>
      <w:r>
        <w:t>, jeigu projektu siekiama investuoti į turtą arba infrastruktūrą, reikalingą viešosioms paslaugoms, kaip jos apibrėžtos Lietuvos Respublikos viešojo a</w:t>
      </w:r>
      <w:r>
        <w:t>dministravimo įstatyme, teikti, ir jeigu projektui įgyvendinti suplanuotų investicijų į nurodytus investavimo objektus išlaidų suma, išskyrus (atėmus) šioms išlaidoms tenkantį pirkimo ir (arba) importo pridėtinės vertės mokestį ir išlaidas, kurios apmokamo</w:t>
      </w:r>
      <w:r>
        <w:t xml:space="preserve">s supaprastintai pagal iš anksto nustatytus dydžius (fiksuotuosius įkainius, fiksuotąsias sumas arba fiksuotąsias normas), yra didesnė kaip 300 000 </w:t>
      </w:r>
      <w:r>
        <w:lastRenderedPageBreak/>
        <w:t>eurų. Kartu pateikiamas į elektroninę laikmeną įrašytas investicijų projektas, taip pat jo priedas – investi</w:t>
      </w:r>
      <w:r>
        <w:t xml:space="preserve">cijų projektų skaičiuoklės </w:t>
      </w:r>
      <w:r>
        <w:rPr>
          <w:i/>
          <w:iCs/>
        </w:rPr>
        <w:t>MS</w:t>
      </w:r>
      <w:r>
        <w:t xml:space="preserve"> </w:t>
      </w:r>
      <w:r>
        <w:rPr>
          <w:i/>
          <w:iCs/>
        </w:rPr>
        <w:t>Excel</w:t>
      </w:r>
      <w:r>
        <w:t xml:space="preserve"> formatu</w:t>
      </w:r>
      <w:r>
        <w:rPr>
          <w:color w:val="000000"/>
        </w:rPr>
        <w:t>. S</w:t>
      </w:r>
      <w:r>
        <w:t>ąnaudų veiksmingumo analizės arba sąnaudų ir naudos analizės metodas pasirenkamas atsižvelgiant į Investicijų projektų rengimo metodikos 3.5 papunktyje aprašytas nuostatas dėl analizės metodo pasirinkimo. Jeigu</w:t>
      </w:r>
      <w:r>
        <w:t xml:space="preserve"> projektas yra įtrauktas į regiono arba miesto </w:t>
      </w:r>
      <w:r>
        <w:rPr>
          <w:color w:val="000000"/>
        </w:rPr>
        <w:t>integruotą teritorijų vystymo programą,</w:t>
      </w:r>
      <w:r>
        <w:t xml:space="preserve"> turi būti išnagrinėta viena projekto įgyvendinimo alternatyva, nurodyta integruotų teritorijų vystymo programoje. Jeigu projektas nėra įtrauktas į regiono arba miesto </w:t>
      </w:r>
      <w:r>
        <w:rPr>
          <w:color w:val="000000"/>
        </w:rPr>
        <w:t>in</w:t>
      </w:r>
      <w:r>
        <w:rPr>
          <w:color w:val="000000"/>
        </w:rPr>
        <w:t>tegruotą teritorijų vystymo programą, i</w:t>
      </w:r>
      <w:r>
        <w:t xml:space="preserve">nvesticijų projekte turi būti išnagrinėtas ir palygintas minimalus vertinamų alternatyvų skaičius, </w:t>
      </w:r>
      <w:r>
        <w:rPr>
          <w:color w:val="000000"/>
        </w:rPr>
        <w:t xml:space="preserve">ne mažesnis, nei numatyta </w:t>
      </w:r>
      <w:r>
        <w:t>Investicijų projektų rengimo metodikos 4 priedo lentelėje „</w:t>
      </w:r>
      <w:r>
        <w:rPr>
          <w:color w:val="000000"/>
          <w:bdr w:val="none" w:sz="0" w:space="0" w:color="auto" w:frame="1"/>
        </w:rPr>
        <w:t>Minimaliai privalomos išnagrinėti</w:t>
      </w:r>
      <w:r>
        <w:rPr>
          <w:color w:val="000000"/>
          <w:bdr w:val="none" w:sz="0" w:space="0" w:color="auto" w:frame="1"/>
        </w:rPr>
        <w:t xml:space="preserve"> ir palyginti projekto įgyvendinimo alternatyvos pagal investavimo objektus ir galimų veiklų sąrašas.“</w:t>
      </w:r>
    </w:p>
    <w:p w14:paraId="3D646D62" w14:textId="5CAC8F73" w:rsidR="00C14C45" w:rsidRDefault="0031621B">
      <w:pPr>
        <w:ind w:left="1069" w:hanging="360"/>
        <w:jc w:val="both"/>
      </w:pPr>
      <w:r>
        <w:rPr>
          <w:szCs w:val="24"/>
          <w:lang w:val="en-US" w:eastAsia="lt-LT"/>
        </w:rPr>
        <w:t>3</w:t>
      </w:r>
      <w:r>
        <w:rPr>
          <w:szCs w:val="24"/>
          <w:lang w:val="en-US" w:eastAsia="lt-LT"/>
        </w:rPr>
        <w:t>.</w:t>
      </w:r>
      <w:r>
        <w:rPr>
          <w:szCs w:val="24"/>
          <w:lang w:val="en-US" w:eastAsia="lt-LT"/>
        </w:rPr>
        <w:tab/>
      </w:r>
      <w:proofErr w:type="spellStart"/>
      <w:proofErr w:type="gramStart"/>
      <w:r>
        <w:rPr>
          <w:lang w:val="en-US"/>
        </w:rPr>
        <w:t>Pripažįstu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netekusiu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galios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priedą</w:t>
      </w:r>
      <w:proofErr w:type="spellEnd"/>
      <w:r>
        <w:t>.</w:t>
      </w:r>
      <w:proofErr w:type="gramEnd"/>
      <w:r>
        <w:t xml:space="preserve"> </w:t>
      </w:r>
    </w:p>
    <w:p w14:paraId="35D2F185" w14:textId="1C0C3227" w:rsidR="0031621B" w:rsidRDefault="0031621B">
      <w:pPr>
        <w:tabs>
          <w:tab w:val="left" w:pos="3050"/>
        </w:tabs>
        <w:ind w:right="903"/>
        <w:rPr>
          <w:spacing w:val="-2"/>
          <w:szCs w:val="24"/>
        </w:rPr>
      </w:pPr>
    </w:p>
    <w:p w14:paraId="78885C58" w14:textId="77777777" w:rsidR="0031621B" w:rsidRDefault="0031621B">
      <w:pPr>
        <w:tabs>
          <w:tab w:val="left" w:pos="3050"/>
        </w:tabs>
        <w:ind w:right="903"/>
        <w:rPr>
          <w:spacing w:val="-2"/>
          <w:szCs w:val="24"/>
        </w:rPr>
      </w:pPr>
    </w:p>
    <w:p w14:paraId="224BA4CA" w14:textId="77777777" w:rsidR="0031621B" w:rsidRDefault="0031621B">
      <w:pPr>
        <w:tabs>
          <w:tab w:val="left" w:pos="3050"/>
        </w:tabs>
        <w:ind w:right="903"/>
        <w:rPr>
          <w:spacing w:val="-2"/>
          <w:szCs w:val="24"/>
        </w:rPr>
      </w:pPr>
    </w:p>
    <w:p w14:paraId="3D646D63" w14:textId="4AFDA6C9" w:rsidR="00C14C45" w:rsidRDefault="0031621B" w:rsidP="0031621B">
      <w:pPr>
        <w:tabs>
          <w:tab w:val="left" w:pos="7088"/>
        </w:tabs>
        <w:ind w:right="-1"/>
        <w:rPr>
          <w:spacing w:val="-2"/>
          <w:szCs w:val="24"/>
        </w:rPr>
      </w:pPr>
      <w:r>
        <w:rPr>
          <w:spacing w:val="-2"/>
          <w:szCs w:val="24"/>
        </w:rPr>
        <w:t xml:space="preserve">Susisiekimo ministras </w:t>
      </w:r>
      <w:r>
        <w:rPr>
          <w:spacing w:val="-2"/>
          <w:szCs w:val="24"/>
        </w:rPr>
        <w:tab/>
      </w:r>
      <w:proofErr w:type="spellStart"/>
      <w:r>
        <w:rPr>
          <w:spacing w:val="-2"/>
          <w:szCs w:val="24"/>
        </w:rPr>
        <w:t>Jaroslav</w:t>
      </w:r>
      <w:proofErr w:type="spellEnd"/>
      <w:r>
        <w:rPr>
          <w:spacing w:val="-2"/>
          <w:szCs w:val="24"/>
        </w:rPr>
        <w:t xml:space="preserve"> </w:t>
      </w:r>
      <w:proofErr w:type="spellStart"/>
      <w:r>
        <w:rPr>
          <w:spacing w:val="-2"/>
          <w:szCs w:val="24"/>
        </w:rPr>
        <w:t>Narkevič</w:t>
      </w:r>
      <w:proofErr w:type="spellEnd"/>
    </w:p>
    <w:p w14:paraId="3D646D64" w14:textId="77777777" w:rsidR="00C14C45" w:rsidRDefault="00C14C45">
      <w:pPr>
        <w:tabs>
          <w:tab w:val="left" w:pos="3050"/>
        </w:tabs>
        <w:ind w:right="903"/>
        <w:rPr>
          <w:spacing w:val="-2"/>
          <w:szCs w:val="24"/>
        </w:rPr>
      </w:pPr>
    </w:p>
    <w:p w14:paraId="3D646D65" w14:textId="77777777" w:rsidR="00C14C45" w:rsidRDefault="00C14C45">
      <w:pPr>
        <w:tabs>
          <w:tab w:val="left" w:pos="3050"/>
        </w:tabs>
        <w:ind w:right="903"/>
        <w:rPr>
          <w:spacing w:val="-2"/>
          <w:szCs w:val="24"/>
        </w:rPr>
      </w:pPr>
    </w:p>
    <w:p w14:paraId="3D646D66" w14:textId="77777777" w:rsidR="00C14C45" w:rsidRDefault="00C14C45">
      <w:pPr>
        <w:jc w:val="both"/>
        <w:rPr>
          <w:szCs w:val="24"/>
          <w:lang w:val="en-US" w:eastAsia="lt-LT"/>
        </w:rPr>
      </w:pPr>
    </w:p>
    <w:tbl>
      <w:tblPr>
        <w:tblW w:w="11259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9"/>
      </w:tblGrid>
      <w:tr w:rsidR="00C14C45" w14:paraId="3D646D7E" w14:textId="77777777" w:rsidTr="0031621B">
        <w:tc>
          <w:tcPr>
            <w:tcW w:w="11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4536"/>
            </w:tblGrid>
            <w:tr w:rsidR="00C14C45" w14:paraId="3D646D79" w14:textId="77777777" w:rsidTr="0031621B">
              <w:tc>
                <w:tcPr>
                  <w:tcW w:w="51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46D67" w14:textId="77777777" w:rsidR="00C14C45" w:rsidRDefault="0031621B" w:rsidP="0031621B">
                  <w:pPr>
                    <w:tabs>
                      <w:tab w:val="left" w:pos="3050"/>
                    </w:tabs>
                    <w:ind w:right="-108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SUDERINTA</w:t>
                  </w:r>
                </w:p>
                <w:p w14:paraId="3D646D68" w14:textId="77777777" w:rsidR="00C14C45" w:rsidRDefault="0031621B" w:rsidP="0031621B">
                  <w:pPr>
                    <w:tabs>
                      <w:tab w:val="left" w:pos="0"/>
                    </w:tabs>
                    <w:ind w:left="34" w:right="-108"/>
                    <w:rPr>
                      <w:spacing w:val="-2"/>
                      <w:szCs w:val="24"/>
                    </w:rPr>
                  </w:pPr>
                  <w:proofErr w:type="spellStart"/>
                  <w:r>
                    <w:rPr>
                      <w:spacing w:val="-2"/>
                      <w:szCs w:val="24"/>
                    </w:rPr>
                    <w:t>VšĮ</w:t>
                  </w:r>
                  <w:proofErr w:type="spellEnd"/>
                  <w:r>
                    <w:rPr>
                      <w:spacing w:val="-2"/>
                      <w:szCs w:val="24"/>
                    </w:rPr>
                    <w:t xml:space="preserve"> Centrinės projektų valdymo agentūros </w:t>
                  </w:r>
                  <w:r>
                    <w:rPr>
                      <w:spacing w:val="-2"/>
                      <w:szCs w:val="24"/>
                    </w:rPr>
                    <w:br/>
                    <w:t xml:space="preserve">2020 m. </w:t>
                  </w:r>
                  <w:r>
                    <w:rPr>
                      <w:spacing w:val="-2"/>
                      <w:szCs w:val="24"/>
                    </w:rPr>
                    <w:t xml:space="preserve">vasario 24 d. raštu Nr. 2020/2-1395  </w:t>
                  </w:r>
                </w:p>
                <w:p w14:paraId="3D646D69" w14:textId="77777777" w:rsidR="00C14C45" w:rsidRDefault="00C14C45" w:rsidP="0031621B">
                  <w:pPr>
                    <w:tabs>
                      <w:tab w:val="left" w:pos="0"/>
                    </w:tabs>
                    <w:ind w:left="34" w:right="-108"/>
                    <w:rPr>
                      <w:spacing w:val="-2"/>
                      <w:szCs w:val="24"/>
                    </w:rPr>
                  </w:pPr>
                </w:p>
                <w:p w14:paraId="3D646D6A" w14:textId="77777777" w:rsidR="00C14C45" w:rsidRDefault="00C14C45" w:rsidP="0031621B">
                  <w:pPr>
                    <w:tabs>
                      <w:tab w:val="left" w:pos="0"/>
                    </w:tabs>
                    <w:ind w:left="34" w:right="-108"/>
                    <w:rPr>
                      <w:spacing w:val="-2"/>
                      <w:szCs w:val="24"/>
                    </w:rPr>
                  </w:pPr>
                </w:p>
                <w:p w14:paraId="3D646D6B" w14:textId="77777777" w:rsidR="00C14C45" w:rsidRDefault="0031621B" w:rsidP="0031621B">
                  <w:pPr>
                    <w:tabs>
                      <w:tab w:val="left" w:pos="0"/>
                    </w:tabs>
                    <w:ind w:left="34" w:right="-108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SUDERINTA</w:t>
                  </w:r>
                </w:p>
                <w:p w14:paraId="3D646D6C" w14:textId="77777777" w:rsidR="00C14C45" w:rsidRDefault="0031621B" w:rsidP="0031621B">
                  <w:pPr>
                    <w:tabs>
                      <w:tab w:val="left" w:pos="0"/>
                    </w:tabs>
                    <w:ind w:left="34" w:right="-108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Lietuvos Respublikos konkurencijos tarybos</w:t>
                  </w:r>
                </w:p>
                <w:p w14:paraId="3D646D6D" w14:textId="77777777" w:rsidR="00C14C45" w:rsidRDefault="0031621B" w:rsidP="0031621B">
                  <w:pPr>
                    <w:tabs>
                      <w:tab w:val="left" w:pos="0"/>
                    </w:tabs>
                    <w:ind w:left="34" w:right="-108"/>
                    <w:rPr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 xml:space="preserve">2020 m. vasario 26 d. raštu Nr. </w:t>
                  </w:r>
                  <w:r>
                    <w:rPr>
                      <w:szCs w:val="24"/>
                    </w:rPr>
                    <w:t>(9.8E-35)6V-280</w:t>
                  </w:r>
                </w:p>
                <w:p w14:paraId="3D646D6E" w14:textId="77777777" w:rsidR="00C14C45" w:rsidRDefault="00C14C45" w:rsidP="0031621B">
                  <w:pPr>
                    <w:tabs>
                      <w:tab w:val="left" w:pos="0"/>
                    </w:tabs>
                    <w:ind w:left="34" w:right="-108"/>
                    <w:rPr>
                      <w:spacing w:val="-2"/>
                      <w:szCs w:val="24"/>
                    </w:rPr>
                  </w:pPr>
                </w:p>
              </w:tc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46D6F" w14:textId="77777777" w:rsidR="00C14C45" w:rsidRDefault="00C14C45" w:rsidP="0031621B">
                  <w:pPr>
                    <w:tabs>
                      <w:tab w:val="left" w:pos="3050"/>
                    </w:tabs>
                    <w:ind w:right="-108" w:hanging="1208"/>
                    <w:rPr>
                      <w:spacing w:val="-2"/>
                      <w:szCs w:val="24"/>
                    </w:rPr>
                  </w:pPr>
                </w:p>
                <w:p w14:paraId="3D646D70" w14:textId="77777777" w:rsidR="00C14C45" w:rsidRDefault="00C14C45" w:rsidP="0031621B">
                  <w:pPr>
                    <w:tabs>
                      <w:tab w:val="left" w:pos="3050"/>
                    </w:tabs>
                    <w:ind w:right="-108" w:hanging="1208"/>
                    <w:rPr>
                      <w:spacing w:val="-2"/>
                      <w:szCs w:val="24"/>
                    </w:rPr>
                  </w:pPr>
                </w:p>
                <w:p w14:paraId="3D646D71" w14:textId="77777777" w:rsidR="00C14C45" w:rsidRDefault="00C14C45" w:rsidP="0031621B">
                  <w:pPr>
                    <w:tabs>
                      <w:tab w:val="left" w:pos="3050"/>
                    </w:tabs>
                    <w:ind w:right="-108" w:hanging="1208"/>
                    <w:rPr>
                      <w:spacing w:val="-2"/>
                      <w:szCs w:val="24"/>
                    </w:rPr>
                  </w:pPr>
                </w:p>
                <w:p w14:paraId="3D646D72" w14:textId="77777777" w:rsidR="00C14C45" w:rsidRDefault="0031621B" w:rsidP="0031621B">
                  <w:pPr>
                    <w:tabs>
                      <w:tab w:val="left" w:pos="3050"/>
                    </w:tabs>
                    <w:ind w:right="-108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SUDERINTA</w:t>
                  </w:r>
                </w:p>
                <w:p w14:paraId="3D646D73" w14:textId="77777777" w:rsidR="00C14C45" w:rsidRDefault="0031621B" w:rsidP="0031621B">
                  <w:pPr>
                    <w:ind w:right="-108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 xml:space="preserve">Lietuvos Respublikos vidaus reikalų ministerijos </w:t>
                  </w:r>
                </w:p>
                <w:p w14:paraId="3D646D74" w14:textId="77777777" w:rsidR="00C14C45" w:rsidRDefault="0031621B" w:rsidP="0031621B">
                  <w:pPr>
                    <w:ind w:right="-108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2020 m. kovo 5 d. raštu Nr. 1D-1198</w:t>
                  </w:r>
                </w:p>
                <w:p w14:paraId="3D646D78" w14:textId="77777777" w:rsidR="00C14C45" w:rsidRDefault="00C14C45" w:rsidP="0031621B">
                  <w:pPr>
                    <w:ind w:right="-108"/>
                    <w:rPr>
                      <w:spacing w:val="-2"/>
                      <w:szCs w:val="24"/>
                    </w:rPr>
                  </w:pPr>
                </w:p>
              </w:tc>
            </w:tr>
            <w:tr w:rsidR="00C14C45" w14:paraId="3D646D7C" w14:textId="77777777" w:rsidTr="0031621B">
              <w:tc>
                <w:tcPr>
                  <w:tcW w:w="51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46D7A" w14:textId="77777777" w:rsidR="00C14C45" w:rsidRDefault="00C14C45" w:rsidP="0031621B">
                  <w:pPr>
                    <w:tabs>
                      <w:tab w:val="left" w:pos="3050"/>
                    </w:tabs>
                    <w:ind w:right="-108"/>
                    <w:rPr>
                      <w:spacing w:val="-2"/>
                      <w:szCs w:val="24"/>
                    </w:rPr>
                  </w:pPr>
                </w:p>
              </w:tc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46D7B" w14:textId="77777777" w:rsidR="00C14C45" w:rsidRDefault="00C14C45" w:rsidP="0031621B">
                  <w:pPr>
                    <w:tabs>
                      <w:tab w:val="left" w:pos="3050"/>
                    </w:tabs>
                    <w:ind w:right="-108" w:hanging="1208"/>
                    <w:rPr>
                      <w:spacing w:val="-2"/>
                      <w:szCs w:val="24"/>
                    </w:rPr>
                  </w:pPr>
                </w:p>
              </w:tc>
            </w:tr>
          </w:tbl>
          <w:p w14:paraId="3D646D7D" w14:textId="77777777" w:rsidR="00C14C45" w:rsidRDefault="00C14C45" w:rsidP="0031621B">
            <w:pPr>
              <w:tabs>
                <w:tab w:val="left" w:pos="0"/>
              </w:tabs>
              <w:ind w:right="-108"/>
              <w:rPr>
                <w:spacing w:val="-2"/>
                <w:szCs w:val="24"/>
                <w:lang w:eastAsia="lt-LT"/>
              </w:rPr>
            </w:pPr>
          </w:p>
        </w:tc>
        <w:bookmarkStart w:id="0" w:name="_GoBack"/>
        <w:bookmarkEnd w:id="0"/>
      </w:tr>
    </w:tbl>
    <w:p w14:paraId="3D646D81" w14:textId="5A26C2CE" w:rsidR="00C14C45" w:rsidRDefault="0031621B"/>
    <w:sectPr w:rsidR="00C14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A1557" w16cex:dateUtc="2020-03-16T13:10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6B73C" w16cid:durableId="221A15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6D85" w14:textId="77777777" w:rsidR="00C14C45" w:rsidRDefault="0031621B">
      <w:r>
        <w:separator/>
      </w:r>
    </w:p>
  </w:endnote>
  <w:endnote w:type="continuationSeparator" w:id="0">
    <w:p w14:paraId="3D646D86" w14:textId="77777777" w:rsidR="00C14C45" w:rsidRDefault="0031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6D8A" w14:textId="77777777" w:rsidR="00C14C45" w:rsidRDefault="00C14C4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6D8B" w14:textId="77777777" w:rsidR="00C14C45" w:rsidRDefault="00C14C4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6D8D" w14:textId="77777777" w:rsidR="00C14C45" w:rsidRDefault="00C14C4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6D83" w14:textId="77777777" w:rsidR="00C14C45" w:rsidRDefault="0031621B">
      <w:r>
        <w:separator/>
      </w:r>
    </w:p>
  </w:footnote>
  <w:footnote w:type="continuationSeparator" w:id="0">
    <w:p w14:paraId="3D646D84" w14:textId="77777777" w:rsidR="00C14C45" w:rsidRDefault="0031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6D87" w14:textId="77777777" w:rsidR="00C14C45" w:rsidRDefault="00C14C4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6D88" w14:textId="77777777" w:rsidR="00C14C45" w:rsidRDefault="0031621B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D646D89" w14:textId="77777777" w:rsidR="00C14C45" w:rsidRDefault="00C14C4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6D8C" w14:textId="77777777" w:rsidR="00C14C45" w:rsidRDefault="00C14C4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9"/>
    <w:rsid w:val="00227539"/>
    <w:rsid w:val="0031621B"/>
    <w:rsid w:val="00C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4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162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1621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16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162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1621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16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4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19" Type="http://schemas.microsoft.com/office/2016/09/relationships/commentsIds" Target="commentsIds.xml"/>
  <Relationship Id="rId2" Type="http://schemas.openxmlformats.org/officeDocument/2006/relationships/styles" Target="styles.xml"/>
  <Relationship Id="rId20" Type="http://schemas.microsoft.com/office/2018/08/relationships/commentsExtensible" Target="commentsExtensible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B"/>
    <w:rsid w:val="00E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6A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6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2020-03-19T15:29:00Z</dcterms:created>
  <dc:creator>sevol</dc:creator>
  <lastModifiedBy>ŠAULYTĖ SKAIRIENĖ Dalia</lastModifiedBy>
  <lastPrinted>2019-10-08T07:09:00Z</lastPrinted>
  <dcterms:modified xsi:type="dcterms:W3CDTF">2020-03-19T15:37:00Z</dcterms:modified>
  <revision>3</revision>
</coreProperties>
</file>