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a9495a71b9848679fcc274b8b104ccc"/>
        <w:id w:val="1290004548"/>
        <w:lock w:val="sdtLocked"/>
      </w:sdtPr>
      <w:sdtEndPr/>
      <w:sdtContent>
        <w:p w14:paraId="11C5EFC7" w14:textId="220E80BD" w:rsidR="001C68C6" w:rsidRDefault="00CA59A8" w:rsidP="00CA59A8">
          <w:pPr>
            <w:tabs>
              <w:tab w:val="center" w:pos="4513"/>
              <w:tab w:val="right" w:pos="9026"/>
            </w:tabs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30D8E85" wp14:editId="2A2156F7">
                <wp:extent cx="543560" cy="595630"/>
                <wp:effectExtent l="0" t="0" r="8890" b="0"/>
                <wp:docPr id="2" name="Picture 2" descr="Logo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Picture 2" descr="Logo  Description automatically generated"/>
                        <pic:cNvPicPr/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F2381EF" w14:textId="77777777" w:rsidR="001C68C6" w:rsidRDefault="001C68C6" w:rsidP="00CA59A8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14:paraId="6CA47A76" w14:textId="646F02A9" w:rsidR="001C68C6" w:rsidRDefault="00CA59A8" w:rsidP="00CA59A8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VALSTYBINĖ ENERGETIKOS REGULIAVIMO TARYBA</w:t>
          </w:r>
        </w:p>
        <w:p w14:paraId="7CFB04AA" w14:textId="77777777" w:rsidR="001C68C6" w:rsidRDefault="001C68C6" w:rsidP="00CA59A8">
          <w:pPr>
            <w:suppressAutoHyphens/>
            <w:jc w:val="center"/>
            <w:rPr>
              <w:b/>
              <w:caps/>
              <w:szCs w:val="24"/>
            </w:rPr>
          </w:pPr>
        </w:p>
        <w:p w14:paraId="44EEDB14" w14:textId="77777777" w:rsidR="001C68C6" w:rsidRDefault="00CA59A8" w:rsidP="00CA59A8">
          <w:pPr>
            <w:suppressAutoHyphens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NUTARIMAS</w:t>
          </w:r>
        </w:p>
        <w:p w14:paraId="1A5768B5" w14:textId="14CC9E8F" w:rsidR="001C68C6" w:rsidRDefault="00CA59A8" w:rsidP="00CA59A8">
          <w:pPr>
            <w:suppressAutoHyphens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Valstybinės energetikos reguliavimo tarybos 2023 m. balandžio 25 d. nutarimo nr. O3E-472 „DĖL AB „ENERGIJOS SKIRSTYMO OPERATORIUS“ ELEKTROS ENERGIJOS PERSIUNTIMO IR TIEKIMO NUTRAUKIMO, </w:t>
          </w:r>
          <w:r>
            <w:rPr>
              <w:b/>
              <w:caps/>
              <w:szCs w:val="24"/>
            </w:rPr>
            <w:t>APRIBOJIMO, ATNAUJINIMO ĮKAINIŲ DERINIMO“ pakeitimo</w:t>
          </w:r>
        </w:p>
        <w:p w14:paraId="2658A473" w14:textId="77777777" w:rsidR="001C68C6" w:rsidRDefault="001C68C6" w:rsidP="00CA59A8">
          <w:pPr>
            <w:suppressAutoHyphens/>
            <w:jc w:val="center"/>
            <w:rPr>
              <w:b/>
              <w:caps/>
              <w:szCs w:val="24"/>
            </w:rPr>
          </w:pPr>
        </w:p>
        <w:p w14:paraId="3B240A4D" w14:textId="1122FCDA" w:rsidR="00CA59A8" w:rsidRPr="00CA59A8" w:rsidRDefault="00CA59A8" w:rsidP="00CA59A8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balandžio 12 </w:t>
          </w:r>
          <w:r>
            <w:rPr>
              <w:szCs w:val="24"/>
              <w:lang w:eastAsia="lt-LT"/>
            </w:rPr>
            <w:t xml:space="preserve">d. Nr. </w:t>
          </w:r>
          <w:r w:rsidRPr="00CA59A8">
            <w:rPr>
              <w:szCs w:val="24"/>
              <w:lang w:eastAsia="lt-LT"/>
            </w:rPr>
            <w:t>O3E-572</w:t>
          </w:r>
        </w:p>
        <w:p w14:paraId="4FDADDC0" w14:textId="77777777" w:rsidR="001C68C6" w:rsidRDefault="00CA59A8" w:rsidP="00CA59A8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A79E4B2" w14:textId="3B121105" w:rsidR="001C68C6" w:rsidRDefault="001C68C6" w:rsidP="00CA59A8">
          <w:pPr>
            <w:suppressAutoHyphens/>
            <w:jc w:val="center"/>
            <w:rPr>
              <w:rFonts w:eastAsia="Aptos"/>
              <w:color w:val="000000"/>
              <w:szCs w:val="24"/>
            </w:rPr>
          </w:pPr>
        </w:p>
        <w:p w14:paraId="3F23B6D9" w14:textId="77777777" w:rsidR="00CA59A8" w:rsidRDefault="00CA59A8" w:rsidP="00CA59A8">
          <w:pPr>
            <w:suppressAutoHyphens/>
            <w:jc w:val="center"/>
            <w:rPr>
              <w:rFonts w:eastAsia="Aptos"/>
              <w:color w:val="000000"/>
              <w:szCs w:val="24"/>
            </w:rPr>
          </w:pPr>
        </w:p>
        <w:sdt>
          <w:sdtPr>
            <w:alias w:val="preambule"/>
            <w:tag w:val="part_f02e9717e9384cd7913431c1a37e5389"/>
            <w:id w:val="-2121129613"/>
            <w:lock w:val="sdtLocked"/>
          </w:sdtPr>
          <w:sdtEndPr/>
          <w:sdtContent>
            <w:p w14:paraId="51474140" w14:textId="7C5A8176" w:rsidR="001C68C6" w:rsidRDefault="00CA59A8">
              <w:pPr>
                <w:suppressAutoHyphens/>
                <w:spacing w:line="276" w:lineRule="auto"/>
                <w:ind w:firstLine="720"/>
                <w:jc w:val="both"/>
                <w:rPr>
                  <w:rFonts w:eastAsia="Aptos"/>
                  <w:color w:val="000000"/>
                  <w:szCs w:val="24"/>
                </w:rPr>
              </w:pPr>
              <w:r>
                <w:rPr>
                  <w:rFonts w:eastAsia="Aptos"/>
                  <w:color w:val="000000"/>
                  <w:szCs w:val="24"/>
                </w:rPr>
                <w:t>Vadovaudamasi Lietuvos Respublikos elektros energetikos įstatymo 9 straipsnio 3 dalies 20 punktu, Elektros energijos tiekimo ir naudojimo taisyklių, patvirtintų Liet</w:t>
              </w:r>
              <w:r>
                <w:rPr>
                  <w:rFonts w:eastAsia="Aptos"/>
                  <w:color w:val="000000"/>
                  <w:szCs w:val="24"/>
                </w:rPr>
                <w:t>uvos Respublikos energetikos ministro 2010 m. vasario 11 d. įsakymu Nr. 1-38 „Dėl Elektros energijos tiekimo ir naudojimo taisyklių patvirtinimo“, 105.3, 130.6 ir 131.3 papunkčiais, AB „Energijos skirstymo operatorius“ papildomų reguliuojamos veiklos pasla</w:t>
              </w:r>
              <w:r>
                <w:rPr>
                  <w:rFonts w:eastAsia="Aptos"/>
                  <w:color w:val="000000"/>
                  <w:szCs w:val="24"/>
                </w:rPr>
                <w:t>ugų įkainių nustatymo metodika, patvirtinta Valstybinės energetikos reguliavimo tarybos (toliau – Taryba) 2019 m. liepos 25 d. nutarimu Nr. O3E-277 „Dėl akcinės bendrovės „Energijos skirstymo operatorius“ papildomų reguliuojamos veiklos paslaugų įkainių nu</w:t>
              </w:r>
              <w:r>
                <w:rPr>
                  <w:rFonts w:eastAsia="Aptos"/>
                  <w:color w:val="000000"/>
                  <w:szCs w:val="24"/>
                </w:rPr>
                <w:t>statymo metodikos derinimo“,</w:t>
              </w:r>
              <w:r>
                <w:rPr>
                  <w:rFonts w:eastAsia="Aptos"/>
                  <w:szCs w:val="24"/>
                </w:rPr>
                <w:t xml:space="preserve"> ir atsižvelgdama į Tarybos Dujų ir elektros departamento Elektros skyriaus 2024 m. balandžio 2 d. pažymą Nr. O5E-363 „Dėl Valstybinės energetikos reguliavimo tarybos </w:t>
              </w:r>
              <w:r>
                <w:rPr>
                  <w:rFonts w:eastAsia="Aptos"/>
                  <w:color w:val="000000"/>
                  <w:szCs w:val="24"/>
                </w:rPr>
                <w:t>2023 m. balandžio 25 d. nutarimo Nr. O3E-472 „Dėl AB „Energij</w:t>
              </w:r>
              <w:r>
                <w:rPr>
                  <w:rFonts w:eastAsia="Aptos"/>
                  <w:color w:val="000000"/>
                  <w:szCs w:val="24"/>
                </w:rPr>
                <w:t>os skirstymo operatorius“ elektros energijos persiuntimo ir tiekimo nutraukimo, apribojimo, atnaujinimo įkainių derinimo“ pakeitimo“ Taryba n u t a r i a:</w:t>
              </w:r>
            </w:p>
          </w:sdtContent>
        </w:sdt>
        <w:sdt>
          <w:sdtPr>
            <w:alias w:val="pastraipa"/>
            <w:tag w:val="part_a45fe6a4cbfa4000bbd06c7b49cef3a5"/>
            <w:id w:val="-547987135"/>
            <w:lock w:val="sdtLocked"/>
          </w:sdtPr>
          <w:sdtEndPr/>
          <w:sdtContent>
            <w:p w14:paraId="359F241E" w14:textId="20E165F9" w:rsidR="001C68C6" w:rsidRDefault="00CA59A8">
              <w:pPr>
                <w:suppressAutoHyphens/>
                <w:spacing w:line="276" w:lineRule="auto"/>
                <w:ind w:firstLine="720"/>
                <w:jc w:val="both"/>
                <w:rPr>
                  <w:rFonts w:eastAsia="Aptos"/>
                  <w:color w:val="000000"/>
                  <w:szCs w:val="24"/>
                </w:rPr>
              </w:pPr>
              <w:r>
                <w:rPr>
                  <w:rFonts w:eastAsia="Aptos"/>
                  <w:color w:val="000000"/>
                  <w:szCs w:val="24"/>
                </w:rPr>
                <w:t>Pakeisti Tarybos 2023 m. balandžio 25 d. nutarimo Nr. O3E-472 „Dėl AB „Energijos skirstymo operator</w:t>
              </w:r>
              <w:r>
                <w:rPr>
                  <w:rFonts w:eastAsia="Aptos"/>
                  <w:color w:val="000000"/>
                  <w:szCs w:val="24"/>
                </w:rPr>
                <w:t>ius“ elektros energijos persiuntimo ir tiekimo nutraukimo, apribojimo, atnaujinimo įkainių derinimo“ 1 punktą ir jį išdėstyti taip:</w:t>
              </w:r>
            </w:p>
            <w:sdt>
              <w:sdtPr>
                <w:alias w:val="citata"/>
                <w:tag w:val="part_90ecdf55795e44a49b539d1a57a8b3e5"/>
                <w:id w:val="147946472"/>
                <w:lock w:val="sdtLocked"/>
              </w:sdtPr>
              <w:sdtEndPr/>
              <w:sdtContent>
                <w:sdt>
                  <w:sdtPr>
                    <w:alias w:val="1 p."/>
                    <w:tag w:val="part_1cbaff12ad27489cba628930d319777c"/>
                    <w:id w:val="-1994628180"/>
                    <w:lock w:val="sdtLocked"/>
                  </w:sdtPr>
                  <w:sdtEndPr/>
                  <w:sdtContent>
                    <w:p w14:paraId="35397402" w14:textId="77777777" w:rsidR="001C68C6" w:rsidRDefault="00CA59A8">
                      <w:pPr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ptos"/>
                          <w:color w:val="000000"/>
                          <w:szCs w:val="24"/>
                        </w:rPr>
                      </w:pPr>
                      <w:r>
                        <w:rPr>
                          <w:rFonts w:eastAsia="Aptos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cbaff12ad27489cba628930d319777c"/>
                          <w:id w:val="-176714817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ptos"/>
                              <w:color w:val="000000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Aptos"/>
                          <w:color w:val="000000"/>
                          <w:szCs w:val="24"/>
                        </w:rPr>
                        <w:t>. Derinti Operatoriaus teikiamus elektros energijos persiuntimo ir (ar) tiekimo nutraukimo, apribojimo, atnaujinimo ir e</w:t>
                      </w:r>
                      <w:r>
                        <w:rPr>
                          <w:rFonts w:eastAsia="Aptos"/>
                          <w:color w:val="000000"/>
                          <w:szCs w:val="24"/>
                        </w:rPr>
                        <w:t>lektros apskaitos prietaiso rodmenų nuskaitymo paslaugų įkainius ir jų taikymo sąlygas:</w:t>
                      </w:r>
                    </w:p>
                    <w:p w14:paraId="782433C9" w14:textId="77777777" w:rsidR="001C68C6" w:rsidRDefault="001C68C6">
                      <w:pPr>
                        <w:suppressAutoHyphens/>
                        <w:rPr>
                          <w:szCs w:val="24"/>
                        </w:rPr>
                      </w:pPr>
                    </w:p>
                    <w:tbl>
                      <w:tblPr>
                        <w:tblW w:w="9163" w:type="dxa"/>
                        <w:tblLayout w:type="fixed"/>
                        <w:tblLook w:val="00A0" w:firstRow="1" w:lastRow="0" w:firstColumn="1" w:lastColumn="0" w:noHBand="0" w:noVBand="0"/>
                      </w:tblPr>
                      <w:tblGrid>
                        <w:gridCol w:w="5594"/>
                        <w:gridCol w:w="3569"/>
                      </w:tblGrid>
                      <w:tr w:rsidR="001C68C6" w14:paraId="600D7A88" w14:textId="77777777" w:rsidTr="00CA59A8">
                        <w:trPr>
                          <w:trHeight w:val="531"/>
                        </w:trPr>
                        <w:tc>
                          <w:tcPr>
                            <w:tcW w:w="55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</w:tcPr>
                          <w:p w14:paraId="1FE395AA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ind w:firstLine="312"/>
                              <w:jc w:val="center"/>
                              <w:rPr>
                                <w:color w:val="000000"/>
                                <w:szCs w:val="24"/>
                              </w:rPr>
                            </w:pPr>
                            <w:bookmarkStart w:id="0" w:name="_GoBack"/>
                            <w:r>
                              <w:rPr>
                                <w:color w:val="000000"/>
                                <w:szCs w:val="24"/>
                              </w:rPr>
                              <w:t>Paslaugos pavadinimas</w:t>
                            </w:r>
                          </w:p>
                        </w:tc>
                        <w:tc>
                          <w:tcPr>
                            <w:tcW w:w="356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</w:tcPr>
                          <w:p w14:paraId="78F1671B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jc w:val="center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Fiksuotas įkainis,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</w:rPr>
                              <w:t>Eur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 be PVM</w:t>
                            </w:r>
                          </w:p>
                        </w:tc>
                      </w:tr>
                      <w:tr w:rsidR="001C68C6" w14:paraId="6E7373F8" w14:textId="77777777" w:rsidTr="00CA59A8">
                        <w:trPr>
                          <w:trHeight w:val="287"/>
                        </w:trPr>
                        <w:tc>
                          <w:tcPr>
                            <w:tcW w:w="55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2299D6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Elektros energijos persiuntimo / tiekimo nutraukimo, apribojimo arba atnaujinimo paslaugos fiziniams ir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juridiniams asmenims įkainis (nuo skaitiklio)</w:t>
                            </w:r>
                          </w:p>
                        </w:tc>
                        <w:tc>
                          <w:tcPr>
                            <w:tcW w:w="356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</w:tcPr>
                          <w:p w14:paraId="4A7465D5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center"/>
                              <w:rPr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</w:rPr>
                              <w:t>25,03</w:t>
                            </w:r>
                          </w:p>
                        </w:tc>
                      </w:tr>
                      <w:tr w:rsidR="001C68C6" w14:paraId="14D04F9F" w14:textId="77777777" w:rsidTr="00CA59A8">
                        <w:trPr>
                          <w:trHeight w:val="287"/>
                        </w:trPr>
                        <w:tc>
                          <w:tcPr>
                            <w:tcW w:w="55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34E648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both"/>
                              <w:rPr>
                                <w:i/>
                                <w:i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Elektros energijos persiuntimo / tiekimo nutraukimo, apribojimo arba atnaujinimo paslaugos įkainis (Fiziniam ir juridiniam asmenims, nuo tranzitinės dėžės arba transformatorinės arba atjungiant nuo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atramos, nenaudojant automobilio su pakėlimo aikštele)</w:t>
                            </w:r>
                          </w:p>
                        </w:tc>
                        <w:tc>
                          <w:tcPr>
                            <w:tcW w:w="356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</w:tcPr>
                          <w:p w14:paraId="2E73354B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center"/>
                              <w:rPr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</w:rPr>
                              <w:t>79,26</w:t>
                            </w:r>
                          </w:p>
                        </w:tc>
                      </w:tr>
                      <w:tr w:rsidR="001C68C6" w14:paraId="3082BD1E" w14:textId="77777777" w:rsidTr="00CA59A8">
                        <w:trPr>
                          <w:trHeight w:val="287"/>
                        </w:trPr>
                        <w:tc>
                          <w:tcPr>
                            <w:tcW w:w="55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8B4448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both"/>
                              <w:rPr>
                                <w:i/>
                                <w:i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Elektros energijos persiuntimo / tiekimo nutraukimo, apribojimo arba atnaujinimo paslaugos įkainis (Fiziniam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ir juridiniam asmenims, panaudojant automobilį su pakėlimo aikštele) (toliau ‒ Įkaini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 su pakėlimo aikštele)</w:t>
                            </w:r>
                          </w:p>
                        </w:tc>
                        <w:tc>
                          <w:tcPr>
                            <w:tcW w:w="356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</w:tcPr>
                          <w:p w14:paraId="77C73680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center"/>
                              <w:rPr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</w:rPr>
                              <w:lastRenderedPageBreak/>
                              <w:t>119,63</w:t>
                            </w:r>
                          </w:p>
                        </w:tc>
                      </w:tr>
                      <w:tr w:rsidR="001C68C6" w14:paraId="51369003" w14:textId="77777777" w:rsidTr="00CA59A8">
                        <w:trPr>
                          <w:trHeight w:val="651"/>
                        </w:trPr>
                        <w:tc>
                          <w:tcPr>
                            <w:tcW w:w="9163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9E020A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Įkainiai taikomi:</w:t>
                            </w:r>
                          </w:p>
                          <w:p w14:paraId="22C100D1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1) kai vartotojui elektros energijos persiuntimas / tiekimas yra nutraukiamas / apribojamas dėl jo skolos už suvartotą elektros energiją, suteiktą elektros energijos persiuntimo ar už kitas su tuo </w:t>
                            </w:r>
                            <w:r>
                              <w:rPr>
                                <w:szCs w:val="24"/>
                              </w:rPr>
                              <w:t>susijusias paslaugas;</w:t>
                            </w:r>
                          </w:p>
                          <w:p w14:paraId="61491AD4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2) kai vartotojui elektros energijos persiuntimas / tiekimas yra nutraukiamas / apribojamas dėl nesudarytos sutarties dėl elektros energijos pirkimo‒pardavimo ir (ar) persiuntimo paslaugos teikimo;</w:t>
                            </w:r>
                          </w:p>
                          <w:p w14:paraId="4C972D1A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3) kai vartotojui elektros energijos</w:t>
                            </w:r>
                            <w:r>
                              <w:rPr>
                                <w:szCs w:val="24"/>
                              </w:rPr>
                              <w:t xml:space="preserve"> persiuntimas / tiekimas yra nutraukiamas / apribojamas dėl sutartyje dėl elektros energijos pirkimo–pardavimo ir (ar) persiuntimo paslaugos teikimo numatytų prievolių nevykdymo ar netinkamo vykdymo; </w:t>
                            </w:r>
                          </w:p>
                          <w:p w14:paraId="5EAA2279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4) atnaujinant vartotojui elektros energijos persiuntim</w:t>
                            </w:r>
                            <w:r>
                              <w:rPr>
                                <w:szCs w:val="24"/>
                              </w:rPr>
                              <w:t xml:space="preserve">ą / tiekimą, kuriam elektros energijos persiuntimas / tiekimas buvo nutraukiamas / apribojamas; </w:t>
                            </w:r>
                          </w:p>
                          <w:p w14:paraId="3FF9689A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5) tiekėjui ar vartotojui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Elektros energijos tiekimo ir naudojimo taisyklėse</w:t>
                            </w:r>
                            <w:r>
                              <w:rPr>
                                <w:szCs w:val="24"/>
                              </w:rPr>
                              <w:t xml:space="preserve"> numatytais atvejais prašant nutraukti / apriboti / atnaujinti elektros energijos p</w:t>
                            </w:r>
                            <w:r>
                              <w:rPr>
                                <w:szCs w:val="24"/>
                              </w:rPr>
                              <w:t xml:space="preserve">ersiuntimą / tiekimą; </w:t>
                            </w:r>
                          </w:p>
                          <w:p w14:paraId="5E2EC452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6) siekiant užkirsti kelią neteisėtiems vartotojo veiksmams (neveikimui); </w:t>
                            </w:r>
                          </w:p>
                          <w:p w14:paraId="432E589A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7) kai vartotojui elektros energijos persiuntimas / tiekimas yra nutraukiamas / apribojamas kitais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Elektros energijos tiekimo ir naudojimo taisyklėse</w:t>
                            </w:r>
                            <w:r>
                              <w:rPr>
                                <w:szCs w:val="24"/>
                              </w:rPr>
                              <w:t xml:space="preserve"> nustatyt</w:t>
                            </w:r>
                            <w:r>
                              <w:rPr>
                                <w:szCs w:val="24"/>
                              </w:rPr>
                              <w:t>ais pagrindais, kuriems esant taikomas su Taryba suderintas įkainis;</w:t>
                            </w:r>
                          </w:p>
                          <w:p w14:paraId="6409EB7A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8) atskirai tiek nutraukiant / apribojant, tiek atnaujinant elektros energijos persiuntimą / tiekimą;</w:t>
                            </w:r>
                          </w:p>
                          <w:p w14:paraId="6B9B97DC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9) kiekvienam vartotojo objektui, nepriklausomai nuo objekte įrengtų elektros apskait</w:t>
                            </w:r>
                            <w:r>
                              <w:rPr>
                                <w:szCs w:val="24"/>
                              </w:rPr>
                              <w:t>os prietaisų skaičiaus;</w:t>
                            </w:r>
                          </w:p>
                          <w:p w14:paraId="4B1DCC61" w14:textId="77777777" w:rsidR="001C68C6" w:rsidRDefault="00CA59A8">
                            <w:pPr>
                              <w:widowControl w:val="0"/>
                              <w:suppressAutoHyphens/>
                              <w:spacing w:line="276" w:lineRule="auto"/>
                              <w:ind w:firstLine="455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10) vartotojui arba tiekėjui, kaip tai numatyta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Elektros energijos tiekimo ir naudojimo taisyklėse</w:t>
                            </w:r>
                            <w:r>
                              <w:rPr>
                                <w:szCs w:val="24"/>
                              </w:rPr>
                              <w:t>.</w:t>
                            </w:r>
                          </w:p>
                        </w:tc>
                      </w:tr>
                      <w:tr w:rsidR="001C68C6" w14:paraId="166024D2" w14:textId="77777777" w:rsidTr="00CA59A8">
                        <w:trPr>
                          <w:trHeight w:val="300"/>
                        </w:trPr>
                        <w:tc>
                          <w:tcPr>
                            <w:tcW w:w="55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3F96B6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Elektros apskaitos prietaiso rodmenų nuskaitymas</w:t>
                            </w:r>
                          </w:p>
                        </w:tc>
                        <w:tc>
                          <w:tcPr>
                            <w:tcW w:w="356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8592DD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center"/>
                              <w:rPr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</w:rPr>
                              <w:t>17,98</w:t>
                            </w:r>
                          </w:p>
                        </w:tc>
                      </w:tr>
                      <w:tr w:rsidR="001C68C6" w14:paraId="2F4CF2C0" w14:textId="77777777" w:rsidTr="00CA59A8">
                        <w:trPr>
                          <w:trHeight w:val="623"/>
                        </w:trPr>
                        <w:tc>
                          <w:tcPr>
                            <w:tcW w:w="9163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713B6C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ind w:firstLine="312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Įkainis taikomas: </w:t>
                            </w:r>
                          </w:p>
                          <w:p w14:paraId="70015B60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ind w:firstLine="312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a)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ab/>
                              <w:t>kiekvienam vartotojo objektui, kai elektros apskaitos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 prietaisų rodmenų nurašymas vykdomas elektros energijos tiekėjo prašymu, tokiame prašyme nurodyta apimtimi ir terminais;</w:t>
                            </w:r>
                          </w:p>
                          <w:p w14:paraId="7F1B541B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ind w:firstLine="312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b)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ab/>
                              <w:t>kiekvienam vartotojo objektui, kai vartotojas ilgiau kaip vienus kalendorinius metus yra nepateikęs duomenų apie elektros apskaitos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 prietaisų rodmenis, faktinis suvartotas elektros energijos kiekis nėra paaiškėjęs vykdant elektros energijos tiekėjo prašymą nurašyti elektros apskaitos prietaisų rodmenis arba Operatoriui atliekant elektros energijos kiekio perskaičiavimą, sutrikus elekt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ros apskaitos prietaisui*; </w:t>
                            </w:r>
                          </w:p>
                          <w:p w14:paraId="56767A48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ind w:firstLine="312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c)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ab/>
                              <w:t>kiekvienam vartotojo objektui, nepriklausomai nuo objekte įrengtų elektros apskaitos prietaisų skaičiaus.</w:t>
                            </w:r>
                          </w:p>
                          <w:p w14:paraId="1A3DFA58" w14:textId="77777777" w:rsidR="001C68C6" w:rsidRDefault="001C68C6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ind w:firstLine="312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</w:p>
                          <w:p w14:paraId="56B9C1CE" w14:textId="77777777" w:rsidR="001C68C6" w:rsidRDefault="00CA59A8">
                            <w:pPr>
                              <w:widowControl w:val="0"/>
                              <w:tabs>
                                <w:tab w:val="left" w:pos="709"/>
                              </w:tabs>
                              <w:suppressAutoHyphens/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*Pastaba: vienų kalendorinių metų terminas pradedamas skaičiuoti nuo 2024 m. vasario 10 d.</w:t>
                            </w:r>
                          </w:p>
                        </w:tc>
                      </w:tr>
                    </w:tbl>
                    <w:bookmarkEnd w:id="0"/>
                    <w:p w14:paraId="36096D58" w14:textId="77777777" w:rsidR="001C68C6" w:rsidRDefault="00CA59A8">
                      <w:pPr>
                        <w:suppressAutoHyphens/>
                        <w:rPr>
                          <w:rFonts w:eastAsia="Aptos"/>
                          <w:color w:val="000000"/>
                          <w:szCs w:val="24"/>
                        </w:rPr>
                      </w:pPr>
                      <w:r>
                        <w:rPr>
                          <w:rFonts w:eastAsia="Aptos"/>
                          <w:color w:val="000000"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8fba19fcf49d4e00af43312dfc213abd"/>
            <w:id w:val="1253701775"/>
            <w:lock w:val="sdtLocked"/>
          </w:sdtPr>
          <w:sdtEndPr/>
          <w:sdtContent>
            <w:p w14:paraId="0E0AF2EC" w14:textId="36E1BB36" w:rsidR="001C68C6" w:rsidRDefault="00CA59A8" w:rsidP="00CA59A8">
              <w:pPr>
                <w:suppressAutoHyphens/>
                <w:ind w:firstLine="720"/>
                <w:jc w:val="both"/>
                <w:rPr>
                  <w:rFonts w:eastAsia="Aptos"/>
                  <w:color w:val="000000"/>
                  <w:szCs w:val="24"/>
                </w:rPr>
              </w:pPr>
              <w:r>
                <w:rPr>
                  <w:rFonts w:eastAsia="Aptos"/>
                  <w:color w:val="000000"/>
                  <w:szCs w:val="24"/>
                </w:rPr>
                <w:t>Šis nutarimas gali</w:t>
              </w:r>
              <w:r>
                <w:rPr>
                  <w:rFonts w:eastAsia="Aptos"/>
                  <w:color w:val="000000"/>
                  <w:szCs w:val="24"/>
                </w:rPr>
                <w:t xml:space="preserve"> būti skundžiamas Lietuvos Respublikos administracinių bylų teisenos įstatymo nustatyta tvarka ir sąlygomis.</w:t>
              </w:r>
            </w:p>
          </w:sdtContent>
        </w:sdt>
        <w:sdt>
          <w:sdtPr>
            <w:alias w:val="signatura"/>
            <w:tag w:val="part_4687410d3b994e48b8e527b69d49bf5c"/>
            <w:id w:val="7420949"/>
            <w:lock w:val="sdtLocked"/>
          </w:sdtPr>
          <w:sdtEndPr/>
          <w:sdtContent>
            <w:p w14:paraId="32B55319" w14:textId="23289978" w:rsidR="00CA59A8" w:rsidRDefault="00CA59A8">
              <w:pPr>
                <w:suppressAutoHyphens/>
              </w:pPr>
            </w:p>
            <w:p w14:paraId="00FF82D6" w14:textId="77777777" w:rsidR="00CA59A8" w:rsidRDefault="00CA59A8">
              <w:pPr>
                <w:suppressAutoHyphens/>
              </w:pPr>
            </w:p>
            <w:p w14:paraId="78DCDDC9" w14:textId="5342706A" w:rsidR="00CA59A8" w:rsidRPr="00CA59A8" w:rsidRDefault="00CA59A8" w:rsidP="00CA59A8">
              <w:pPr>
                <w:tabs>
                  <w:tab w:val="left" w:pos="7230"/>
                </w:tabs>
                <w:suppressAutoHyphens/>
              </w:pPr>
              <w:r>
                <w:rPr>
                  <w:rFonts w:eastAsia="Aptos"/>
                  <w:color w:val="000000"/>
                  <w:szCs w:val="24"/>
                </w:rPr>
                <w:t>Tarybos pirmininkas</w:t>
              </w:r>
              <w:r>
                <w:rPr>
                  <w:rFonts w:eastAsia="Aptos"/>
                  <w:color w:val="000000"/>
                  <w:szCs w:val="24"/>
                </w:rPr>
                <w:tab/>
              </w:r>
              <w:r>
                <w:rPr>
                  <w:rFonts w:eastAsia="Aptos"/>
                  <w:color w:val="000000"/>
                  <w:szCs w:val="24"/>
                </w:rPr>
                <w:t>Renatas Pocius</w:t>
              </w:r>
            </w:p>
          </w:sdtContent>
        </w:sdt>
      </w:sdtContent>
    </w:sdt>
    <w:sectPr w:rsidR="00CA59A8" w:rsidRPr="00CA59A8" w:rsidSect="00CA59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709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006BC4" w14:textId="77777777" w:rsidR="001C68C6" w:rsidRDefault="00CA59A8">
      <w:pPr>
        <w:suppressAutoHyphens/>
      </w:pPr>
      <w:r>
        <w:separator/>
      </w:r>
    </w:p>
  </w:endnote>
  <w:endnote w:type="continuationSeparator" w:id="0">
    <w:p w14:paraId="217637F2" w14:textId="77777777" w:rsidR="001C68C6" w:rsidRDefault="00CA59A8">
      <w:pPr>
        <w:suppressAutoHyphens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6C27C2" w14:textId="77777777" w:rsidR="001C68C6" w:rsidRDefault="001C68C6">
    <w:pPr>
      <w:tabs>
        <w:tab w:val="center" w:pos="4513"/>
        <w:tab w:val="right" w:pos="9026"/>
      </w:tabs>
      <w:suppressAutoHyphens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0A836" w14:textId="77777777" w:rsidR="001C68C6" w:rsidRDefault="001C68C6">
    <w:pPr>
      <w:tabs>
        <w:tab w:val="center" w:pos="4513"/>
        <w:tab w:val="right" w:pos="9026"/>
      </w:tabs>
      <w:suppressAutoHyphens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D148D" w14:textId="77777777" w:rsidR="001C68C6" w:rsidRDefault="001C68C6">
    <w:pPr>
      <w:tabs>
        <w:tab w:val="center" w:pos="4513"/>
        <w:tab w:val="right" w:pos="9026"/>
      </w:tabs>
      <w:suppressAutoHyphens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1439F1" w14:textId="77777777" w:rsidR="001C68C6" w:rsidRDefault="00CA59A8">
      <w:pPr>
        <w:suppressAutoHyphens/>
      </w:pPr>
      <w:r>
        <w:separator/>
      </w:r>
    </w:p>
  </w:footnote>
  <w:footnote w:type="continuationSeparator" w:id="0">
    <w:p w14:paraId="2AC1D2CC" w14:textId="77777777" w:rsidR="001C68C6" w:rsidRDefault="00CA59A8">
      <w:pPr>
        <w:suppressAutoHyphens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3E895" w14:textId="77777777" w:rsidR="001C68C6" w:rsidRDefault="001C68C6">
    <w:pPr>
      <w:tabs>
        <w:tab w:val="center" w:pos="4513"/>
        <w:tab w:val="right" w:pos="9026"/>
      </w:tabs>
      <w:suppressAutoHyphens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64730763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4E2E0F25" w14:textId="31F2078F" w:rsidR="001C68C6" w:rsidRPr="00CA59A8" w:rsidRDefault="00CA59A8" w:rsidP="00CA59A8">
        <w:pPr>
          <w:pStyle w:val="Antrats"/>
          <w:jc w:val="center"/>
          <w:rPr>
            <w:rFonts w:ascii="Times New Roman" w:hAnsi="Times New Roman"/>
          </w:rPr>
        </w:pPr>
        <w:r w:rsidRPr="00CA59A8">
          <w:rPr>
            <w:rFonts w:ascii="Times New Roman" w:hAnsi="Times New Roman"/>
          </w:rPr>
          <w:fldChar w:fldCharType="begin"/>
        </w:r>
        <w:r w:rsidRPr="00CA59A8">
          <w:rPr>
            <w:rFonts w:ascii="Times New Roman" w:hAnsi="Times New Roman"/>
          </w:rPr>
          <w:instrText>PAGE   \* MERGEFORMAT</w:instrText>
        </w:r>
        <w:r w:rsidRPr="00CA59A8"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noProof/>
          </w:rPr>
          <w:t>2</w:t>
        </w:r>
        <w:r w:rsidRPr="00CA59A8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FEA86" w14:textId="5DDBE893" w:rsidR="001C68C6" w:rsidRDefault="001C68C6">
    <w:pPr>
      <w:tabs>
        <w:tab w:val="center" w:pos="4513"/>
        <w:tab w:val="right" w:pos="9026"/>
      </w:tabs>
      <w:suppressAutoHyphens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DCA"/>
    <w:rsid w:val="001C68C6"/>
    <w:rsid w:val="00486DCA"/>
    <w:rsid w:val="00CA5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24206"/>
  <w15:docId w15:val="{C8EB2924-81FF-4EC2-A13C-7FC473C6F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A59A8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A59A8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817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3078e657b0b42258a5dfc9484fb1652" PartId="2a9495a71b9848679fcc274b8b104ccc">
    <Part Type="preambule" DocPartId="eaa810c6fc1e4aa08469714a57474de1" PartId="f02e9717e9384cd7913431c1a37e5389"/>
    <Part Type="pastraipa" DocPartId="c3af2e3907c247f8b73e2de5f01863f4" PartId="a45fe6a4cbfa4000bbd06c7b49cef3a5">
      <Part Type="citata" DocPartId="35161fe7d31d4f5290760cf5029fce99" PartId="90ecdf55795e44a49b539d1a57a8b3e5">
        <Part Type="punktas" Nr="1" Abbr="1 p." DocPartId="51130d5406ab4c0f808b6dc788c6f985" PartId="1cbaff12ad27489cba628930d319777c"/>
      </Part>
    </Part>
    <Part Type="pastraipa" DocPartId="a152de332f414add8806ff08153e8998" PartId="8fba19fcf49d4e00af43312dfc213abd"/>
    <Part Type="signatura" DocPartId="1bbc3371d9db4154b12a1f00792e62bb" PartId="4687410d3b994e48b8e527b69d49bf5c"/>
  </Part>
</Parts>
</file>

<file path=customXml/itemProps1.xml><?xml version="1.0" encoding="utf-8"?>
<ds:datastoreItem xmlns:ds="http://schemas.openxmlformats.org/officeDocument/2006/customXml" ds:itemID="{0E161B97-E354-443A-984A-C1FD2730B5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3340</Words>
  <Characters>1905</Characters>
  <Application>Microsoft Office Word</Application>
  <DocSecurity>0</DocSecurity>
  <Lines>15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Erikas Kavaliauskas</dc:creator>
  <cp:lastModifiedBy>JŪRĖNIENĖ Jolanta</cp:lastModifiedBy>
  <cp:revision>3</cp:revision>
  <dcterms:created xsi:type="dcterms:W3CDTF">2024-04-12T10:04:00Z</dcterms:created>
  <dcterms:modified xsi:type="dcterms:W3CDTF">2024-04-12T11:09:00Z</dcterms:modified>
  <dc:language>en-US</dc:language>
</cp:coreProperties>
</file>