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611db63e904eaab09cd161b0f65f8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VAIKO TEISIŲ APSAUGOS PAGRINDŲ ĮSTATYMO NR. I-1234 30 IR 36</w:t>
          </w:r>
          <w:r>
            <w:rPr>
              <w:b/>
              <w:caps/>
              <w:vertAlign w:val="superscript"/>
            </w:rPr>
            <w:t>4</w:t>
          </w:r>
          <w:r>
            <w:rPr>
              <w:b/>
              <w:caps/>
            </w:rPr>
            <w:t> STRAIPSNIŲ PAKEITIMO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5</w:t>
          </w:r>
          <w:r>
            <w:rPr>
              <w:szCs w:val="24"/>
            </w:rPr>
            <w:t xml:space="preserve"> d. Nr. </w:t>
          </w:r>
          <w:r>
            <w:rPr>
              <w:szCs w:val="24"/>
              <w:lang w:val="en-US"/>
            </w:rPr>
            <w:t>XV-253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a3f72855b3549bd88aaf432c52d9f24"/>
            <w:lock w:val="sdtLocked"/>
            <w:richText/>
          </w:sdtPr>
          <w:sdtContent>
            <w:p>
              <w:pPr>
                <w:widowControl w:val="0"/>
                <w:tabs>
                  <w:tab w:val="left" w:pos="993"/>
                </w:tabs>
                <w:spacing w:line="400" w:lineRule="atLeast"/>
                <w:ind w:firstLine="720"/>
                <w:jc w:val="both"/>
                <w:rPr>
                  <w:b/>
                  <w:bCs/>
                  <w:szCs w:val="24"/>
                </w:rPr>
              </w:pPr>
              <w:sdt>
                <w:sdtPr>
                  <w:alias w:val="Numeris"/>
                  <w:tag w:val="nr_3a3f72855b3549bd88aaf432c52d9f24"/>
                  <w:lock w:val="sdtLocked"/>
                  <w:richText/>
                </w:sdtPr>
                <w:sdtContent>
                  <w:r>
                    <w:rPr>
                      <w:b/>
                      <w:bCs/>
                      <w:szCs w:val="24"/>
                    </w:rPr>
                    <w:t>1</w:t>
                  </w:r>
                </w:sdtContent>
              </w:sdt>
              <w:r>
                <w:rPr>
                  <w:b/>
                  <w:bCs/>
                  <w:szCs w:val="24"/>
                </w:rPr>
                <w:t xml:space="preserve"> straipsnis. </w:t>
              </w:r>
              <w:sdt>
                <w:sdtPr>
                  <w:alias w:val="Pavadinimas"/>
                  <w:tag w:val="title_3a3f72855b3549bd88aaf432c52d9f24"/>
                  <w:lock w:val="sdtLocked"/>
                  <w:richText/>
                </w:sdtPr>
                <w:sdtContent>
                  <w:r>
                    <w:rPr>
                      <w:b/>
                      <w:bCs/>
                      <w:szCs w:val="24"/>
                    </w:rPr>
                    <w:t>30 straipsnio pakeitimas</w:t>
                  </w:r>
                </w:sdtContent>
              </w:sdt>
            </w:p>
            <w:sdt>
              <w:sdtPr>
                <w:alias w:val="1 str. 1 d."/>
                <w:tag w:val="part_d0602bb3f3f24c0b9dc29145d164e8c8"/>
                <w:lock w:val="sdtLocked"/>
                <w:richText/>
              </w:sdtPr>
              <w:sdtContent>
                <w:p>
                  <w:pPr>
                    <w:widowControl w:val="0"/>
                    <w:tabs>
                      <w:tab w:val="left" w:pos="993"/>
                    </w:tabs>
                    <w:spacing w:line="400" w:lineRule="atLeast"/>
                    <w:ind w:firstLine="720"/>
                    <w:jc w:val="both"/>
                    <w:rPr>
                      <w:szCs w:val="24"/>
                    </w:rPr>
                  </w:pPr>
                  <w:sdt>
                    <w:sdtPr>
                      <w:alias w:val="Numeris"/>
                      <w:tag w:val="nr_d0602bb3f3f24c0b9dc29145d164e8c8"/>
                      <w:lock w:val="sdtLocked"/>
                      <w:richText/>
                    </w:sdtPr>
                    <w:sdtContent>
                      <w:r>
                        <w:rPr>
                          <w:szCs w:val="24"/>
                        </w:rPr>
                        <w:t>1</w:t>
                      </w:r>
                    </w:sdtContent>
                  </w:sdt>
                  <w:r>
                    <w:rPr>
                      <w:szCs w:val="24"/>
                    </w:rPr>
                    <w:t xml:space="preserve">. Pakeisti 30 straipsnio 1 dalies nuostatą iki dvitaškio ir ją išdėstyti taip: </w:t>
                  </w:r>
                </w:p>
                <w:sdt>
                  <w:sdtPr>
                    <w:alias w:val="citata"/>
                    <w:tag w:val="part_85c3a36549c9487ab54c77fe29c931bf"/>
                    <w:lock w:val="sdtLocked"/>
                    <w:richText/>
                  </w:sdtPr>
                  <w:sdtContent>
                    <w:sdt>
                      <w:sdtPr>
                        <w:alias w:val="1 d."/>
                        <w:tag w:val="part_3a524f0f52ab46a284474a67d204095b"/>
                        <w:lock w:val="sdtLocked"/>
                        <w:richText/>
                      </w:sdtPr>
                      <w:sdtContent>
                        <w:p>
                          <w:pPr>
                            <w:widowControl w:val="0"/>
                            <w:spacing w:line="400" w:lineRule="atLeast"/>
                            <w:ind w:firstLine="720"/>
                            <w:jc w:val="both"/>
                            <w:rPr>
                              <w:bCs/>
                              <w:szCs w:val="24"/>
                            </w:rPr>
                          </w:pPr>
                          <w:r>
                            <w:rPr>
                              <w:szCs w:val="24"/>
                            </w:rPr>
                            <w:t>„</w:t>
                          </w:r>
                          <w:sdt>
                            <w:sdtPr>
                              <w:alias w:val="Numeris"/>
                              <w:tag w:val="nr_3a524f0f52ab46a284474a67d204095b"/>
                              <w:lock w:val="sdtLocked"/>
                              <w:richText/>
                            </w:sdtPr>
                            <w:sdtContent>
                              <w:r>
                                <w:rPr>
                                  <w:bCs/>
                                  <w:iCs/>
                                  <w:szCs w:val="24"/>
                                  <w:lang w:eastAsia="lt-LT"/>
                                </w:rPr>
                                <w:t>1</w:t>
                              </w:r>
                            </w:sdtContent>
                          </w:sdt>
                          <w:r>
                            <w:rPr>
                              <w:bCs/>
                              <w:iCs/>
                              <w:szCs w:val="24"/>
                              <w:lang w:eastAsia="lt-LT"/>
                            </w:rPr>
                            <w:t>.</w:t>
                          </w:r>
                          <w:r>
                            <w:rPr>
                              <w:bCs/>
                              <w:szCs w:val="24"/>
                            </w:rPr>
                            <w:t xml:space="preserve"> Asmenims</w:t>
                          </w:r>
                          <w:r>
                            <w:rPr>
                              <w:szCs w:val="24"/>
                            </w:rPr>
                            <w:t xml:space="preserve">, </w:t>
                          </w:r>
                          <w:r>
                            <w:rPr>
                              <w:bCs/>
                              <w:szCs w:val="24"/>
                            </w:rPr>
                            <w:t xml:space="preserve">įsiteisėjusiu apkaltinamuoju teismo nuosprendžiu pripažintiems kaltais dėl nusikalstamų veikų žmogaus </w:t>
                          </w:r>
                          <w:r>
                            <w:rPr>
                              <w:bCs/>
                              <w:iCs/>
                              <w:szCs w:val="24"/>
                              <w:lang w:eastAsia="lt-LT"/>
                            </w:rPr>
                            <w:t>seksualinio apsisprendimo laisvei ir neliečiamumui</w:t>
                          </w:r>
                          <w:r>
                            <w:rPr>
                              <w:bCs/>
                              <w:szCs w:val="24"/>
                            </w:rPr>
                            <w:t xml:space="preserve">, </w:t>
                          </w:r>
                          <w:r>
                            <w:rPr>
                              <w:bCs/>
                              <w:iCs/>
                              <w:szCs w:val="24"/>
                              <w:lang w:eastAsia="lt-LT"/>
                            </w:rPr>
                            <w:t xml:space="preserve">dėl vaiko išnaudojimo pornografijai, pelnymosi iš asmens prostitucijos, asmens įtraukimo į prostituciją ar disponavimo pornografinio turinio dalykais, kuriuose vaizduojamas vaikas arba asmuo pateikiamas kaip vaikas, </w:t>
                          </w:r>
                          <w:r>
                            <w:rPr>
                              <w:bCs/>
                              <w:szCs w:val="24"/>
                            </w:rPr>
                            <w:t>vaiko pirkimo arba pardavimo</w:t>
                          </w:r>
                          <w:r>
                            <w:rPr>
                              <w:szCs w:val="24"/>
                            </w:rPr>
                            <w:t xml:space="preserve"> (toliau kartu – seksualiniai nusikaltimai)</w:t>
                          </w:r>
                          <w:r>
                            <w:rPr>
                              <w:bCs/>
                              <w:szCs w:val="24"/>
                            </w:rPr>
                            <w:t>, taip pat dėl kitų</w:t>
                          </w:r>
                          <w:r>
                            <w:rPr>
                              <w:szCs w:val="24"/>
                            </w:rPr>
                            <w:t xml:space="preserve"> </w:t>
                          </w:r>
                          <w:r>
                            <w:rPr>
                              <w:bCs/>
                              <w:szCs w:val="24"/>
                            </w:rPr>
                            <w:t xml:space="preserve">tyčinių sunkių ir labai sunkių nusikaltimų: nusikaltimų žmoniškumui ir karo nusikaltimų (Baudžiamojo kodekso XV skyrius), Lietuvos valstybės nepriklausomybei, teritorijos vientisumui ir konstitucinei santvarkai (Baudžiamojo kodekso XVI skyrius), nužudymo (Baudžiamojo kodekso 129 straipsnis), </w:t>
                          </w:r>
                          <w:r>
                            <w:rPr>
                              <w:szCs w:val="24"/>
                            </w:rPr>
                            <w:t>prekybos žmonėmis (</w:t>
                          </w:r>
                          <w:r>
                            <w:rPr>
                              <w:bCs/>
                              <w:szCs w:val="24"/>
                            </w:rPr>
                            <w:t xml:space="preserve">Baudžiamojo kodekso </w:t>
                          </w:r>
                          <w:r>
                            <w:rPr>
                              <w:szCs w:val="24"/>
                            </w:rPr>
                            <w:t>147 straipsnis),</w:t>
                          </w:r>
                          <w:r>
                            <w:rPr>
                              <w:bCs/>
                              <w:szCs w:val="24"/>
                            </w:rPr>
                            <w:t xml:space="preserve"> vaiko pagrobimo ar naujagimių sukeitimo </w:t>
                          </w:r>
                          <w:r>
                            <w:rPr>
                              <w:szCs w:val="24"/>
                            </w:rPr>
                            <w:t>(</w:t>
                          </w:r>
                          <w:r>
                            <w:rPr>
                              <w:bCs/>
                              <w:szCs w:val="24"/>
                            </w:rPr>
                            <w:t xml:space="preserve">Baudžiamojo kodekso </w:t>
                          </w:r>
                          <w:r>
                            <w:rPr>
                              <w:szCs w:val="24"/>
                            </w:rPr>
                            <w:t>156 straipsnio 1 dalis)</w:t>
                          </w:r>
                          <w:r>
                            <w:rPr>
                              <w:bCs/>
                              <w:szCs w:val="24"/>
                            </w:rPr>
                            <w:t xml:space="preserve">, visuomenės saugumui </w:t>
                          </w:r>
                          <w:r>
                            <w:rPr>
                              <w:szCs w:val="24"/>
                            </w:rPr>
                            <w:t>(</w:t>
                          </w:r>
                          <w:r>
                            <w:rPr>
                              <w:bCs/>
                              <w:szCs w:val="24"/>
                            </w:rPr>
                            <w:t xml:space="preserve">Baudžiamojo kodekso </w:t>
                          </w:r>
                          <w:r>
                            <w:rPr>
                              <w:szCs w:val="24"/>
                            </w:rPr>
                            <w:t xml:space="preserve">249, </w:t>
                          </w:r>
                          <w:r>
                            <w:rPr>
                              <w:bCs/>
                              <w:szCs w:val="24"/>
                            </w:rPr>
                            <w:t>249</w:t>
                          </w:r>
                          <w:r>
                            <w:rPr>
                              <w:bCs/>
                              <w:szCs w:val="24"/>
                              <w:vertAlign w:val="superscript"/>
                            </w:rPr>
                            <w:t>1</w:t>
                          </w:r>
                          <w:r>
                            <w:rPr>
                              <w:bCs/>
                              <w:szCs w:val="24"/>
                            </w:rPr>
                            <w:t xml:space="preserve">, </w:t>
                          </w:r>
                          <w:r>
                            <w:rPr>
                              <w:szCs w:val="24"/>
                            </w:rPr>
                            <w:t>250, 250</w:t>
                          </w:r>
                          <w:r>
                            <w:rPr>
                              <w:szCs w:val="24"/>
                              <w:vertAlign w:val="superscript"/>
                            </w:rPr>
                            <w:t>2</w:t>
                          </w:r>
                          <w:r>
                            <w:rPr>
                              <w:szCs w:val="24"/>
                            </w:rPr>
                            <w:t>, 250</w:t>
                          </w:r>
                          <w:r>
                            <w:rPr>
                              <w:szCs w:val="24"/>
                              <w:vertAlign w:val="superscript"/>
                            </w:rPr>
                            <w:t>4</w:t>
                          </w:r>
                          <w:r>
                            <w:rPr>
                              <w:szCs w:val="24"/>
                            </w:rPr>
                            <w:t>, 250</w:t>
                          </w:r>
                          <w:r>
                            <w:rPr>
                              <w:szCs w:val="24"/>
                              <w:vertAlign w:val="superscript"/>
                            </w:rPr>
                            <w:t>5</w:t>
                          </w:r>
                          <w:r>
                            <w:rPr>
                              <w:szCs w:val="24"/>
                            </w:rPr>
                            <w:t xml:space="preserve"> straipsniai, 251 straipsnio 2, 3, 4, 5 dalys, 251</w:t>
                          </w:r>
                          <w:r>
                            <w:rPr>
                              <w:szCs w:val="24"/>
                              <w:vertAlign w:val="superscript"/>
                            </w:rPr>
                            <w:t>1</w:t>
                          </w:r>
                          <w:r>
                            <w:rPr>
                              <w:szCs w:val="24"/>
                            </w:rPr>
                            <w:t xml:space="preserve"> straipsnio 1, 2, 3 dalys, 252 straipsnis)</w:t>
                          </w:r>
                          <w:r>
                            <w:rPr>
                              <w:bCs/>
                              <w:szCs w:val="24"/>
                            </w:rPr>
                            <w:t xml:space="preserve">, nusikaltimų, susijusių su disponavimu </w:t>
                          </w:r>
                          <w:r>
                            <w:rPr>
                              <w:bCs/>
                              <w:szCs w:val="24"/>
                              <w:shd w:val="clear" w:color="auto" w:fill="FFFFFF"/>
                            </w:rPr>
                            <w:t xml:space="preserve">narkotinėmis ar psichotropinėmis, nuodingosiomis ar stipriai veikiančiomis medžiagomis </w:t>
                          </w:r>
                          <w:r>
                            <w:rPr>
                              <w:bCs/>
                              <w:szCs w:val="24"/>
                            </w:rPr>
                            <w:t>(Baudžiamojo kodekso 260, 260</w:t>
                          </w:r>
                          <w:r>
                            <w:rPr>
                              <w:bCs/>
                              <w:szCs w:val="24"/>
                              <w:vertAlign w:val="superscript"/>
                            </w:rPr>
                            <w:t>1</w:t>
                          </w:r>
                          <w:r>
                            <w:rPr>
                              <w:bCs/>
                              <w:szCs w:val="24"/>
                            </w:rPr>
                            <w:t xml:space="preserve"> straipsnio</w:t>
                          </w:r>
                          <w:r>
                            <w:rPr>
                              <w:bCs/>
                              <w:szCs w:val="24"/>
                              <w:vertAlign w:val="superscript"/>
                            </w:rPr>
                            <w:t xml:space="preserve"> </w:t>
                          </w:r>
                          <w:r>
                            <w:rPr>
                              <w:bCs/>
                              <w:szCs w:val="24"/>
                            </w:rPr>
                            <w:t>3, 4, 5 dalys, 261 straipsnis, 263 straipsnio 2, 3 dalys, 264 straipsnio 2 dalis, 266 straipsnio 3 dalis, 266</w:t>
                          </w:r>
                          <w:r>
                            <w:rPr>
                              <w:bCs/>
                              <w:szCs w:val="24"/>
                              <w:vertAlign w:val="superscript"/>
                            </w:rPr>
                            <w:t>1</w:t>
                          </w:r>
                          <w:r>
                            <w:rPr>
                              <w:bCs/>
                              <w:szCs w:val="24"/>
                            </w:rPr>
                            <w:t xml:space="preserve"> straipsnio 2, 3 dalis, 267 straipsnio 2 dalis, 267</w:t>
                          </w:r>
                          <w:r>
                            <w:rPr>
                              <w:bCs/>
                              <w:szCs w:val="24"/>
                              <w:vertAlign w:val="superscript"/>
                            </w:rPr>
                            <w:t>1</w:t>
                          </w:r>
                          <w:r>
                            <w:rPr>
                              <w:bCs/>
                              <w:szCs w:val="24"/>
                            </w:rPr>
                            <w:t>, 267</w:t>
                          </w:r>
                          <w:r>
                            <w:rPr>
                              <w:bCs/>
                              <w:szCs w:val="24"/>
                              <w:vertAlign w:val="superscript"/>
                            </w:rPr>
                            <w:t>2</w:t>
                          </w:r>
                          <w:r>
                            <w:rPr>
                              <w:bCs/>
                              <w:szCs w:val="24"/>
                            </w:rPr>
                            <w:t xml:space="preserve"> straipsnio 2 dalis, 267</w:t>
                          </w:r>
                          <w:r>
                            <w:rPr>
                              <w:bCs/>
                              <w:szCs w:val="24"/>
                              <w:vertAlign w:val="superscript"/>
                            </w:rPr>
                            <w:t>3</w:t>
                          </w:r>
                          <w:r>
                            <w:rPr>
                              <w:bCs/>
                              <w:szCs w:val="24"/>
                            </w:rPr>
                            <w:t xml:space="preserve"> straipsnis), arba dėl analogiškų veikų, nurodytų </w:t>
                          </w:r>
                          <w:r>
                            <w:rPr>
                              <w:szCs w:val="24"/>
                            </w:rPr>
                            <w:t xml:space="preserve">Baudžiamajame kodekse, galiojusiame iki 2003 m. gegužės 1 d., arba analogiškų veikų, nurodytų </w:t>
                          </w:r>
                          <w:r>
                            <w:rPr>
                              <w:bCs/>
                              <w:szCs w:val="24"/>
                            </w:rPr>
                            <w:t>kitų</w:t>
                          </w:r>
                          <w:r>
                            <w:rPr>
                              <w:szCs w:val="24"/>
                            </w:rPr>
                            <w:t xml:space="preserve"> </w:t>
                          </w:r>
                          <w:r>
                            <w:rPr>
                              <w:bCs/>
                              <w:szCs w:val="24"/>
                            </w:rPr>
                            <w:t xml:space="preserve">valstybių baudžiamuosiuose įstatymuose, neatsižvelgiant į tai, ar teistumas yra išnykęs ar panaikintas, arba asmenims, padariusiems </w:t>
                          </w:r>
                          <w:r>
                            <w:rPr>
                              <w:szCs w:val="24"/>
                            </w:rPr>
                            <w:t>seksualinius nusikaltimus</w:t>
                          </w:r>
                          <w:r>
                            <w:rPr>
                              <w:bCs/>
                              <w:szCs w:val="24"/>
                            </w:rPr>
                            <w:t>, bet atleistiems nuo baudžiamosios atsakomybės</w:t>
                          </w:r>
                          <w:r>
                            <w:rPr>
                              <w:szCs w:val="24"/>
                            </w:rPr>
                            <w:t>,</w:t>
                          </w:r>
                          <w:r>
                            <w:rPr>
                              <w:bCs/>
                              <w:szCs w:val="24"/>
                            </w:rPr>
                            <w:t xml:space="preserve"> </w:t>
                          </w:r>
                          <w:r>
                            <w:rPr>
                              <w:szCs w:val="24"/>
                            </w:rPr>
                            <w:t xml:space="preserve">taip pat </w:t>
                          </w:r>
                          <w:r>
                            <w:rPr>
                              <w:bCs/>
                              <w:szCs w:val="24"/>
                            </w:rPr>
                            <w:t>asmenims, įsiteisėjusiu apkaltinamuoju teismo nuosprendžiu pripažintiems kaltais dėl kitų tyčinių nusikaltimų: sunkaus sveikatos sutrikdymo (Baudžiamojo kodekso 135 straipsnis),</w:t>
                          </w:r>
                          <w:r>
                            <w:rPr>
                              <w:szCs w:val="24"/>
                            </w:rPr>
                            <w:t xml:space="preserve"> </w:t>
                          </w:r>
                          <w:r>
                            <w:rPr>
                              <w:bCs/>
                              <w:szCs w:val="24"/>
                            </w:rPr>
                            <w:t>nesunkaus sveikatos sutrikdymo (Baudžiamojo kodekso 138 straipsnio 2 dalies 1, 4, 6 punktai), fizinio skausmo sukėlimo ar nežymaus sveikatos sutrikdymo (Baudžiamojo kodekso 140 straipsnio 3 dalis), išnaudojimo priverstiniam darbui ar paslaugoms (Baudžiamojo kodekso 147</w:t>
                          </w:r>
                          <w:r>
                            <w:rPr>
                              <w:bCs/>
                              <w:szCs w:val="24"/>
                              <w:vertAlign w:val="superscript"/>
                            </w:rPr>
                            <w:t>1</w:t>
                          </w:r>
                          <w:r>
                            <w:rPr>
                              <w:bCs/>
                              <w:szCs w:val="24"/>
                            </w:rPr>
                            <w:t xml:space="preserve"> straipsnio 2 dalis),</w:t>
                          </w:r>
                          <w:r>
                            <w:rPr>
                              <w:szCs w:val="24"/>
                            </w:rPr>
                            <w:t xml:space="preserve"> </w:t>
                          </w:r>
                          <w:r>
                            <w:rPr>
                              <w:bCs/>
                              <w:szCs w:val="24"/>
                            </w:rPr>
                            <w:t xml:space="preserve">vaiko įtraukimo į nusikalstamą veiką </w:t>
                          </w:r>
                          <w:r>
                            <w:rPr>
                              <w:szCs w:val="24"/>
                            </w:rPr>
                            <w:t>(</w:t>
                          </w:r>
                          <w:r>
                            <w:rPr>
                              <w:bCs/>
                              <w:szCs w:val="24"/>
                            </w:rPr>
                            <w:t xml:space="preserve">Baudžiamojo kodekso </w:t>
                          </w:r>
                          <w:r>
                            <w:rPr>
                              <w:szCs w:val="24"/>
                            </w:rPr>
                            <w:t>159 straipsnis)</w:t>
                          </w:r>
                          <w:r>
                            <w:rPr>
                              <w:bCs/>
                              <w:szCs w:val="24"/>
                            </w:rPr>
                            <w:t xml:space="preserve">, plėšimo (Baudžiamojo kodekso 180 straipsnio 2, 3 dalys), turto prievartavimo (Baudžiamojo kodekso 181 straipsnio 2, 3 dalys), </w:t>
                          </w:r>
                          <w:r>
                            <w:rPr>
                              <w:iCs/>
                              <w:szCs w:val="24"/>
                            </w:rPr>
                            <w:t>nusikaltimų,</w:t>
                          </w:r>
                          <w:r>
                            <w:rPr>
                              <w:szCs w:val="24"/>
                            </w:rPr>
                            <w:t xml:space="preserve"> susijusių su</w:t>
                          </w:r>
                          <w:r>
                            <w:rPr>
                              <w:bCs/>
                              <w:szCs w:val="24"/>
                              <w:lang w:eastAsia="lt-LT"/>
                            </w:rPr>
                            <w:t xml:space="preserve"> disponavimu ginklais, šaudmenimis, sprogmenimis, sprogstamosiomis ar radioaktyviosiomis medžiagomis arba karine įranga </w:t>
                          </w:r>
                          <w:r>
                            <w:rPr>
                              <w:szCs w:val="24"/>
                            </w:rPr>
                            <w:t>(</w:t>
                          </w:r>
                          <w:r>
                            <w:rPr>
                              <w:bCs/>
                              <w:szCs w:val="24"/>
                            </w:rPr>
                            <w:t xml:space="preserve">Baudžiamojo kodekso </w:t>
                          </w:r>
                          <w:r>
                            <w:rPr>
                              <w:szCs w:val="24"/>
                            </w:rPr>
                            <w:t>253 straipsnio 2 dalis,</w:t>
                          </w:r>
                          <w:r>
                            <w:rPr>
                              <w:bCs/>
                              <w:szCs w:val="24"/>
                            </w:rPr>
                            <w:t xml:space="preserve"> 253</w:t>
                          </w:r>
                          <w:r>
                            <w:rPr>
                              <w:bCs/>
                              <w:szCs w:val="24"/>
                              <w:vertAlign w:val="superscript"/>
                            </w:rPr>
                            <w:t>2</w:t>
                          </w:r>
                          <w:r>
                            <w:rPr>
                              <w:szCs w:val="24"/>
                            </w:rPr>
                            <w:t xml:space="preserve"> straipsnio 2 dalis, 254, 256 straipsnio 2 dalis, 256</w:t>
                          </w:r>
                          <w:r>
                            <w:rPr>
                              <w:szCs w:val="24"/>
                              <w:vertAlign w:val="superscript"/>
                            </w:rPr>
                            <w:t>2</w:t>
                          </w:r>
                          <w:r>
                            <w:rPr>
                              <w:szCs w:val="24"/>
                            </w:rPr>
                            <w:t xml:space="preserve"> straipsnis), </w:t>
                          </w:r>
                          <w:r>
                            <w:rPr>
                              <w:bCs/>
                              <w:szCs w:val="24"/>
                            </w:rPr>
                            <w:t>dėl neteisėto žmonių gabenimo per valstybės sieną (Baudžiamojo kodekso 292 straipsnio 2, 3, 4 dalys)</w:t>
                          </w:r>
                          <w:r>
                            <w:rPr>
                              <w:szCs w:val="24"/>
                            </w:rPr>
                            <w:t xml:space="preserve"> </w:t>
                          </w:r>
                          <w:r>
                            <w:rPr>
                              <w:bCs/>
                              <w:szCs w:val="24"/>
                            </w:rPr>
                            <w:t>arba dėl analogiškų veikų, nurodytų kitų valstybių baudžiamuosiuose įstatymuose</w:t>
                          </w:r>
                          <w:r>
                            <w:rPr>
                              <w:szCs w:val="24"/>
                            </w:rPr>
                            <w:t xml:space="preserve">, jeigu jų teistumas neišnykęs ar nepanaikintas, </w:t>
                          </w:r>
                          <w:r>
                            <w:rPr>
                              <w:bCs/>
                              <w:szCs w:val="24"/>
                            </w:rPr>
                            <w:t>draudžiama:“.</w:t>
                          </w:r>
                        </w:p>
                      </w:sdtContent>
                    </w:sdt>
                  </w:sdtContent>
                </w:sdt>
              </w:sdtContent>
            </w:sdt>
            <w:sdt>
              <w:sdtPr>
                <w:alias w:val="1 str. 2 d."/>
                <w:tag w:val="part_c1d870d892534993bfcbe0eacb9e009f"/>
                <w:lock w:val="sdtLocked"/>
                <w:richText/>
              </w:sdtPr>
              <w:sdtContent>
                <w:p>
                  <w:pPr>
                    <w:widowControl w:val="0"/>
                    <w:tabs>
                      <w:tab w:val="left" w:pos="993"/>
                    </w:tabs>
                    <w:spacing w:line="400" w:lineRule="atLeast"/>
                    <w:ind w:firstLine="720"/>
                    <w:jc w:val="both"/>
                    <w:rPr>
                      <w:szCs w:val="24"/>
                    </w:rPr>
                  </w:pPr>
                  <w:sdt>
                    <w:sdtPr>
                      <w:alias w:val="Numeris"/>
                      <w:tag w:val="nr_c1d870d892534993bfcbe0eacb9e009f"/>
                      <w:lock w:val="sdtLocked"/>
                      <w:richText/>
                    </w:sdtPr>
                    <w:sdtContent>
                      <w:r>
                        <w:rPr>
                          <w:szCs w:val="24"/>
                        </w:rPr>
                        <w:t>2</w:t>
                      </w:r>
                    </w:sdtContent>
                  </w:sdt>
                  <w:r>
                    <w:rPr>
                      <w:szCs w:val="24"/>
                    </w:rPr>
                    <w:t xml:space="preserve">. Pakeisti 30 straipsnio 1 dalies 1 punktą ir jį išdėstyti taip: </w:t>
                  </w:r>
                </w:p>
                <w:sdt>
                  <w:sdtPr>
                    <w:alias w:val="citata"/>
                    <w:tag w:val="part_6f5b4c37f1ff4b939a331290275b1c03"/>
                    <w:lock w:val="sdtLocked"/>
                    <w:richText/>
                  </w:sdtPr>
                  <w:sdtContent>
                    <w:sdt>
                      <w:sdtPr>
                        <w:alias w:val="1 p."/>
                        <w:tag w:val="part_8d953e9fc4be48749d510f7f3b332b36"/>
                        <w:lock w:val="sdtLocked"/>
                        <w:richText/>
                      </w:sdtPr>
                      <w:sdtContent>
                        <w:p>
                          <w:pPr>
                            <w:widowControl w:val="0"/>
                            <w:spacing w:line="400" w:lineRule="atLeast"/>
                            <w:ind w:firstLine="720"/>
                            <w:jc w:val="both"/>
                            <w:rPr>
                              <w:szCs w:val="24"/>
                            </w:rPr>
                          </w:pPr>
                          <w:r>
                            <w:rPr>
                              <w:szCs w:val="24"/>
                            </w:rPr>
                            <w:t>„</w:t>
                          </w:r>
                          <w:sdt>
                            <w:sdtPr>
                              <w:alias w:val="Numeris"/>
                              <w:tag w:val="nr_8d953e9fc4be48749d510f7f3b332b36"/>
                              <w:lock w:val="sdtLocked"/>
                              <w:richText/>
                            </w:sdtPr>
                            <w:sdtContent>
                              <w:r>
                                <w:rPr>
                                  <w:szCs w:val="24"/>
                                </w:rPr>
                                <w:t>1</w:t>
                              </w:r>
                            </w:sdtContent>
                          </w:sdt>
                          <w:r>
                            <w:rPr>
                              <w:szCs w:val="24"/>
                            </w:rPr>
                            <w:t>) dirbti, užsiimti savanoriška veikla, atlikti praktiką ar stažuotis socialines, kultūros, švietimo, sporto ir sveikatos priežiūros paslaugas tik</w:t>
                          </w:r>
                          <w:r>
                            <w:rPr>
                              <w:b/>
                              <w:szCs w:val="24"/>
                            </w:rPr>
                            <w:t xml:space="preserve"> </w:t>
                          </w:r>
                          <w:r>
                            <w:rPr>
                              <w:szCs w:val="24"/>
                            </w:rPr>
                            <w:t>vaikams teikiančiose įstaigose, įmonėse ir organizacijose;“.</w:t>
                          </w:r>
                        </w:p>
                      </w:sdtContent>
                    </w:sdt>
                  </w:sdtContent>
                </w:sdt>
              </w:sdtContent>
            </w:sdt>
            <w:sdt>
              <w:sdtPr>
                <w:alias w:val="1 str. 3 d."/>
                <w:tag w:val="part_87d26ef88a564655a875157525c1a9ff"/>
                <w:lock w:val="sdtLocked"/>
                <w:richText/>
              </w:sdtPr>
              <w:sdtContent>
                <w:p>
                  <w:pPr>
                    <w:widowControl w:val="0"/>
                    <w:spacing w:line="400" w:lineRule="atLeast"/>
                    <w:ind w:firstLine="720"/>
                    <w:jc w:val="both"/>
                    <w:rPr>
                      <w:szCs w:val="24"/>
                    </w:rPr>
                  </w:pPr>
                  <w:sdt>
                    <w:sdtPr>
                      <w:alias w:val="Numeris"/>
                      <w:tag w:val="nr_87d26ef88a564655a875157525c1a9ff"/>
                      <w:lock w:val="sdtLocked"/>
                      <w:richText/>
                    </w:sdtPr>
                    <w:sdtContent>
                      <w:r>
                        <w:rPr>
                          <w:szCs w:val="24"/>
                        </w:rPr>
                        <w:t>3</w:t>
                      </w:r>
                    </w:sdtContent>
                  </w:sdt>
                  <w:r>
                    <w:rPr>
                      <w:szCs w:val="24"/>
                    </w:rPr>
                    <w:t>. Papildyti 30 straipsnį 1</w:t>
                  </w:r>
                  <w:r>
                    <w:rPr>
                      <w:szCs w:val="24"/>
                      <w:vertAlign w:val="superscript"/>
                    </w:rPr>
                    <w:t>1</w:t>
                  </w:r>
                  <w:r>
                    <w:rPr>
                      <w:szCs w:val="24"/>
                    </w:rPr>
                    <w:t xml:space="preserve"> dalimi:</w:t>
                  </w:r>
                </w:p>
                <w:sdt>
                  <w:sdtPr>
                    <w:alias w:val="citata"/>
                    <w:tag w:val="part_1c2ae5c506784bb984e38c0a18d44077"/>
                    <w:lock w:val="sdtLocked"/>
                    <w:richText/>
                  </w:sdtPr>
                  <w:sdtContent>
                    <w:sdt>
                      <w:sdtPr>
                        <w:alias w:val="1-1 d."/>
                        <w:tag w:val="part_4e9d14f9779a489097396859c0dde678"/>
                        <w:lock w:val="sdtLocked"/>
                        <w:richText/>
                      </w:sdtPr>
                      <w:sdtContent>
                        <w:p>
                          <w:pPr>
                            <w:widowControl w:val="0"/>
                            <w:spacing w:line="400" w:lineRule="atLeast"/>
                            <w:ind w:firstLine="720"/>
                            <w:jc w:val="both"/>
                            <w:rPr>
                              <w:bCs/>
                              <w:szCs w:val="24"/>
                            </w:rPr>
                          </w:pPr>
                          <w:r>
                            <w:rPr>
                              <w:szCs w:val="24"/>
                            </w:rPr>
                            <w:t>„</w:t>
                          </w:r>
                          <w:sdt>
                            <w:sdtPr>
                              <w:alias w:val="Numeris"/>
                              <w:tag w:val="nr_4e9d14f9779a489097396859c0dde678"/>
                              <w:lock w:val="sdtLocked"/>
                              <w:richText/>
                            </w:sdtPr>
                            <w:sdtContent>
                              <w:r>
                                <w:rPr>
                                  <w:bCs/>
                                  <w:szCs w:val="24"/>
                                </w:rPr>
                                <w:t>1</w:t>
                              </w:r>
                              <w:r>
                                <w:rPr>
                                  <w:bCs/>
                                  <w:szCs w:val="24"/>
                                  <w:vertAlign w:val="superscript"/>
                                </w:rPr>
                                <w:t>1</w:t>
                              </w:r>
                            </w:sdtContent>
                          </w:sdt>
                          <w:r>
                            <w:rPr>
                              <w:bCs/>
                              <w:szCs w:val="24"/>
                            </w:rPr>
                            <w:t>. Papildomus darbo ar bet kokios kitos veiklos, susijusios su vaikais, ribojimus asmenims gali taikyti teismas, skirdamas Baudžiamojo kodekso 68</w:t>
                          </w:r>
                          <w:r>
                            <w:rPr>
                              <w:bCs/>
                              <w:szCs w:val="24"/>
                              <w:vertAlign w:val="superscript"/>
                            </w:rPr>
                            <w:t>1</w:t>
                          </w:r>
                          <w:r>
                            <w:rPr>
                              <w:bCs/>
                              <w:szCs w:val="24"/>
                            </w:rPr>
                            <w:t xml:space="preserve"> straipsnyje numatytą baudžiamojo poveikio priemonę – teisės dirbti tam tikrą darbą arba užsiimti tam tikra veikla atėmimą.</w:t>
                          </w:r>
                          <w:r>
                            <w:rPr>
                              <w:szCs w:val="24"/>
                            </w:rPr>
                            <w:t>“</w:t>
                          </w:r>
                        </w:p>
                      </w:sdtContent>
                    </w:sdt>
                  </w:sdtContent>
                </w:sdt>
              </w:sdtContent>
            </w:sdt>
            <w:sdt>
              <w:sdtPr>
                <w:alias w:val="1 str. 4 d."/>
                <w:tag w:val="part_3fd07864c7414c16a5192d6b0328191f"/>
                <w:lock w:val="sdtLocked"/>
                <w:richText/>
              </w:sdtPr>
              <w:sdtContent>
                <w:p>
                  <w:pPr>
                    <w:widowControl w:val="0"/>
                    <w:spacing w:line="400" w:lineRule="atLeast"/>
                    <w:ind w:firstLine="720"/>
                    <w:jc w:val="both"/>
                    <w:rPr>
                      <w:bCs/>
                      <w:szCs w:val="24"/>
                      <w:lang w:eastAsia="lt-LT"/>
                    </w:rPr>
                  </w:pPr>
                  <w:sdt>
                    <w:sdtPr>
                      <w:alias w:val="Numeris"/>
                      <w:tag w:val="nr_3fd07864c7414c16a5192d6b0328191f"/>
                      <w:lock w:val="sdtLocked"/>
                      <w:richText/>
                    </w:sdtPr>
                    <w:sdtContent>
                      <w:r>
                        <w:rPr>
                          <w:szCs w:val="24"/>
                          <w:lang w:eastAsia="lt-LT"/>
                        </w:rPr>
                        <w:t>4</w:t>
                      </w:r>
                    </w:sdtContent>
                  </w:sdt>
                  <w:r>
                    <w:rPr>
                      <w:szCs w:val="24"/>
                      <w:lang w:eastAsia="lt-LT"/>
                    </w:rPr>
                    <w:t xml:space="preserve">. </w:t>
                  </w:r>
                  <w:r>
                    <w:rPr>
                      <w:szCs w:val="24"/>
                    </w:rPr>
                    <w:t>Pakeisti 30 straipsnio 5 dalį ir ją išdėstyti taip:</w:t>
                  </w:r>
                </w:p>
                <w:sdt>
                  <w:sdtPr>
                    <w:alias w:val="citata"/>
                    <w:tag w:val="part_cd85861f10da44778cf8d236a97acb7c"/>
                    <w:lock w:val="sdtLocked"/>
                    <w:richText/>
                  </w:sdtPr>
                  <w:sdtContent>
                    <w:sdt>
                      <w:sdtPr>
                        <w:alias w:val="5 d."/>
                        <w:tag w:val="part_82cec94824124949a28b1141bcc3d653"/>
                        <w:lock w:val="sdtLocked"/>
                        <w:richText/>
                      </w:sdtPr>
                      <w:sdtContent>
                        <w:p>
                          <w:pPr>
                            <w:widowControl w:val="0"/>
                            <w:spacing w:line="400" w:lineRule="atLeast"/>
                            <w:ind w:firstLine="720"/>
                            <w:jc w:val="both"/>
                            <w:rPr>
                              <w:szCs w:val="24"/>
                            </w:rPr>
                          </w:pPr>
                          <w:r>
                            <w:rPr>
                              <w:szCs w:val="24"/>
                            </w:rPr>
                            <w:t>„</w:t>
                          </w:r>
                          <w:sdt>
                            <w:sdtPr>
                              <w:alias w:val="Numeris"/>
                              <w:tag w:val="nr_82cec94824124949a28b1141bcc3d653"/>
                              <w:lock w:val="sdtLocked"/>
                              <w:richText/>
                            </w:sdtPr>
                            <w:sdtContent>
                              <w:r>
                                <w:rPr>
                                  <w:szCs w:val="24"/>
                                </w:rPr>
                                <w:t>5</w:t>
                              </w:r>
                            </w:sdtContent>
                          </w:sdt>
                          <w:r>
                            <w:rPr>
                              <w:szCs w:val="24"/>
                            </w:rPr>
                            <w:t xml:space="preserve">. Darbdavys, priimančioji organizacija, taip pat juridinis asmuo, kuris pasitelkia asmenį teikti paslaugas ar kuriame asmuo ketina atlikti praktiką ar stažuotis, gali priimti į darbą asmenį, leisti jam atlikti praktiką, stažuotis, teikti paslaugas ar pasitelkti savanorį tik </w:t>
                          </w:r>
                          <w:r>
                            <w:rPr>
                              <w:szCs w:val="24"/>
                              <w:shd w:val="clear" w:color="auto" w:fill="FFFFFF"/>
                            </w:rPr>
                            <w:t xml:space="preserve">patikrinę asmens </w:t>
                          </w:r>
                          <w:r>
                            <w:rPr>
                              <w:bCs/>
                              <w:szCs w:val="24"/>
                              <w:shd w:val="clear" w:color="auto" w:fill="FFFFFF"/>
                            </w:rPr>
                            <w:t xml:space="preserve">Įtariamųjų, kaltinamųjų ir nuteistųjų registro duomenų pagrindu suformuoto </w:t>
                          </w:r>
                          <w:r>
                            <w:rPr>
                              <w:szCs w:val="24"/>
                              <w:shd w:val="clear" w:color="auto" w:fill="FFFFFF"/>
                            </w:rPr>
                            <w:t>teisėto darbo su vaikais kodo galiojimą</w:t>
                          </w:r>
                          <w:r>
                            <w:rPr>
                              <w:szCs w:val="24"/>
                            </w:rPr>
                            <w:t xml:space="preserve"> ir</w:t>
                          </w:r>
                          <w:r>
                            <w:rPr>
                              <w:b/>
                              <w:bCs/>
                              <w:szCs w:val="24"/>
                            </w:rPr>
                            <w:t xml:space="preserve"> </w:t>
                          </w:r>
                          <w:r>
                            <w:rPr>
                              <w:szCs w:val="24"/>
                            </w:rPr>
                            <w:t xml:space="preserve">įsitikinę, kad asmeniui negalioja šio straipsnio </w:t>
                          </w:r>
                          <w:r>
                            <w:rPr>
                              <w:szCs w:val="24"/>
                              <w:shd w:val="clear" w:color="auto" w:fill="FFFFFF"/>
                            </w:rPr>
                            <w:t>1 dalyje numatytas draudimas. Jeigu toks asmuo yra užsienietis, jis privalo darbdaviui, priimančiajai organizacijai, taip pat juridiniam asmeniui, kuris pasitelkia šį asmenį teikti paslaugas ar kuriame šis asmuo ketina atlikti praktiką ar stažuotis, pateikti dokumentus, patvirtinančius, kad jis nėra teistas už nusikalstamas veikas, nurodytas šio straipsnio 1 dalyje, išduotus užsienio valstybės, kurios pilietybę jis turi arba kurioje yra jo nuolatinė gyvenamoji vieta, kompetentingų institucijų.</w:t>
                          </w:r>
                          <w:r>
                            <w:rPr>
                              <w:szCs w:val="24"/>
                            </w:rPr>
                            <w:t xml:space="preserve">“ </w:t>
                          </w:r>
                        </w:p>
                      </w:sdtContent>
                    </w:sdt>
                  </w:sdtContent>
                </w:sdt>
              </w:sdtContent>
            </w:sdt>
            <w:sdt>
              <w:sdtPr>
                <w:alias w:val="1 str. 5 d."/>
                <w:tag w:val="part_54ffad40342e4db0a370706d319378ae"/>
                <w:lock w:val="sdtLocked"/>
                <w:richText/>
              </w:sdtPr>
              <w:sdtContent>
                <w:p>
                  <w:pPr>
                    <w:widowControl w:val="0"/>
                    <w:spacing w:line="400" w:lineRule="atLeast"/>
                    <w:ind w:firstLine="720"/>
                    <w:jc w:val="both"/>
                    <w:rPr>
                      <w:bCs/>
                      <w:szCs w:val="24"/>
                      <w:lang w:eastAsia="lt-LT"/>
                    </w:rPr>
                  </w:pPr>
                  <w:sdt>
                    <w:sdtPr>
                      <w:alias w:val="Numeris"/>
                      <w:tag w:val="nr_54ffad40342e4db0a370706d319378ae"/>
                      <w:lock w:val="sdtLocked"/>
                      <w:richText/>
                    </w:sdtPr>
                    <w:sdtContent>
                      <w:r>
                        <w:rPr>
                          <w:szCs w:val="24"/>
                          <w:lang w:eastAsia="lt-LT"/>
                        </w:rPr>
                        <w:t>5</w:t>
                      </w:r>
                    </w:sdtContent>
                  </w:sdt>
                  <w:r>
                    <w:rPr>
                      <w:szCs w:val="24"/>
                      <w:lang w:eastAsia="lt-LT"/>
                    </w:rPr>
                    <w:t xml:space="preserve">. </w:t>
                  </w:r>
                  <w:r>
                    <w:rPr>
                      <w:szCs w:val="24"/>
                    </w:rPr>
                    <w:t xml:space="preserve">Pakeisti 30 straipsnio 6 dalį ir ją išdėstyti taip: </w:t>
                  </w:r>
                </w:p>
                <w:sdt>
                  <w:sdtPr>
                    <w:alias w:val="citata"/>
                    <w:tag w:val="part_3c1016567e51433f8b4cda551ce06aca"/>
                    <w:lock w:val="sdtLocked"/>
                    <w:richText/>
                  </w:sdtPr>
                  <w:sdtContent>
                    <w:sdt>
                      <w:sdtPr>
                        <w:alias w:val="6 d."/>
                        <w:tag w:val="part_ee75b5ade6704f9abd487931c74c672d"/>
                        <w:lock w:val="sdtLocked"/>
                        <w:richText/>
                      </w:sdtPr>
                      <w:sdtContent>
                        <w:p>
                          <w:pPr>
                            <w:widowControl w:val="0"/>
                            <w:tabs>
                              <w:tab w:val="left" w:pos="1134"/>
                            </w:tabs>
                            <w:spacing w:line="400" w:lineRule="atLeast"/>
                            <w:ind w:firstLine="720"/>
                            <w:jc w:val="both"/>
                            <w:rPr>
                              <w:szCs w:val="24"/>
                            </w:rPr>
                          </w:pPr>
                          <w:r>
                            <w:rPr>
                              <w:szCs w:val="24"/>
                            </w:rPr>
                            <w:t>„</w:t>
                          </w:r>
                          <w:sdt>
                            <w:sdtPr>
                              <w:alias w:val="Numeris"/>
                              <w:tag w:val="nr_ee75b5ade6704f9abd487931c74c672d"/>
                              <w:lock w:val="sdtLocked"/>
                              <w:richText/>
                            </w:sdtPr>
                            <w:sdtContent>
                              <w:r>
                                <w:rPr>
                                  <w:szCs w:val="24"/>
                                </w:rPr>
                                <w:t>6</w:t>
                              </w:r>
                            </w:sdtContent>
                          </w:sdt>
                          <w:r>
                            <w:rPr>
                              <w:szCs w:val="24"/>
                            </w:rPr>
                            <w:t xml:space="preserve">. Asmenys, dirbdami, atlikdami praktiką, stažuotę </w:t>
                          </w:r>
                          <w:r>
                            <w:rPr>
                              <w:szCs w:val="24"/>
                              <w:shd w:val="clear" w:color="auto" w:fill="FFFFFF"/>
                            </w:rPr>
                            <w:t xml:space="preserve">ar užsiimdami savanoriška veikla šio straipsnio 1 dalies 1 ir 2 punktuose nurodytose įstaigose, įmonėse ir organizacijose arba besiversdami individualia veikla ar teikdami paslaugas juridiniams </w:t>
                          </w:r>
                          <w:r>
                            <w:rPr>
                              <w:szCs w:val="24"/>
                            </w:rPr>
                            <w:t>ar fiziniams asmenims, taip pat vykdydami bet kokią kitą veiklą, jeigu ši veikla, paslaugos ar juridinio asmens, kuriam teikiamos paslaugos, veikla tiesioginiais ir reguliariais kontaktais susijusios su vaikais, privalo turėti suformuotą galiojantį teisėto darbo su vaikais kodą, o darbdavys, priimančioji organizacija, juridinis asmuo, kuris pasitelkia asmenį teikti paslaugas, priima asmenį atlikti praktiką, stažuotis, teisėto darbo su vaikais kodo galiojimą turi tikrinti periodiškai, bet ne rečiau kaip kartą per kalendorinius metus. Teisėto darbo su vaikais kodo išdavimo ir naudojimo tvarką nustato Vyriausybė ar jos įgaliota institucija.“</w:t>
                          </w:r>
                        </w:p>
                      </w:sdtContent>
                    </w:sdt>
                  </w:sdtContent>
                </w:sdt>
              </w:sdtContent>
            </w:sdt>
            <w:sdt>
              <w:sdtPr>
                <w:alias w:val="1 str. 6 d."/>
                <w:tag w:val="part_0adca249a0ba436694d6414b15fb7f65"/>
                <w:lock w:val="sdtLocked"/>
                <w:richText/>
              </w:sdtPr>
              <w:sdtContent>
                <w:p>
                  <w:pPr>
                    <w:widowControl w:val="0"/>
                    <w:spacing w:line="400" w:lineRule="atLeast"/>
                    <w:ind w:firstLine="720"/>
                    <w:jc w:val="both"/>
                    <w:rPr>
                      <w:bCs/>
                      <w:szCs w:val="24"/>
                      <w:lang w:eastAsia="lt-LT"/>
                    </w:rPr>
                  </w:pPr>
                  <w:sdt>
                    <w:sdtPr>
                      <w:alias w:val="Numeris"/>
                      <w:tag w:val="nr_0adca249a0ba436694d6414b15fb7f65"/>
                      <w:lock w:val="sdtLocked"/>
                      <w:richText/>
                    </w:sdtPr>
                    <w:sdtContent>
                      <w:r>
                        <w:rPr>
                          <w:szCs w:val="24"/>
                        </w:rPr>
                        <w:t>6</w:t>
                      </w:r>
                    </w:sdtContent>
                  </w:sdt>
                  <w:r>
                    <w:rPr>
                      <w:szCs w:val="24"/>
                    </w:rPr>
                    <w:t xml:space="preserve">. Pakeisti 30 straipsnio 6 dalį ir ją išdėstyti taip: </w:t>
                  </w:r>
                </w:p>
                <w:sdt>
                  <w:sdtPr>
                    <w:alias w:val="citata"/>
                    <w:tag w:val="part_af7def2f2e4540a88530aadd10574777"/>
                    <w:lock w:val="sdtLocked"/>
                    <w:richText/>
                  </w:sdtPr>
                  <w:sdtContent>
                    <w:sdt>
                      <w:sdtPr>
                        <w:alias w:val="6 d."/>
                        <w:tag w:val="part_244a2fcda3624b5eaa85d5c428a6bd09"/>
                        <w:lock w:val="sdtLocked"/>
                        <w:richText/>
                      </w:sdtPr>
                      <w:sdtContent>
                        <w:p>
                          <w:pPr>
                            <w:widowControl w:val="0"/>
                            <w:tabs>
                              <w:tab w:val="left" w:pos="1134"/>
                            </w:tabs>
                            <w:spacing w:line="400" w:lineRule="atLeast"/>
                            <w:ind w:firstLine="720"/>
                            <w:jc w:val="both"/>
                            <w:rPr>
                              <w:bCs/>
                              <w:szCs w:val="24"/>
                              <w:lang w:eastAsia="lt-LT"/>
                            </w:rPr>
                          </w:pPr>
                          <w:r>
                            <w:rPr>
                              <w:bCs/>
                              <w:szCs w:val="24"/>
                              <w:lang w:eastAsia="lt-LT"/>
                            </w:rPr>
                            <w:t>„</w:t>
                          </w:r>
                          <w:sdt>
                            <w:sdtPr>
                              <w:alias w:val="Numeris"/>
                              <w:tag w:val="nr_244a2fcda3624b5eaa85d5c428a6bd09"/>
                              <w:lock w:val="sdtLocked"/>
                              <w:richText/>
                            </w:sdtPr>
                            <w:sdtContent>
                              <w:r>
                                <w:rPr>
                                  <w:szCs w:val="24"/>
                                </w:rPr>
                                <w:t>6</w:t>
                              </w:r>
                            </w:sdtContent>
                          </w:sdt>
                          <w:r>
                            <w:rPr>
                              <w:szCs w:val="24"/>
                            </w:rPr>
                            <w:t xml:space="preserve">. Asmenys, dirbdami, atlikdami praktiką, stažuotę </w:t>
                          </w:r>
                          <w:r>
                            <w:rPr>
                              <w:szCs w:val="24"/>
                              <w:shd w:val="clear" w:color="auto" w:fill="FFFFFF"/>
                            </w:rPr>
                            <w:t xml:space="preserve">ar užsiimdami savanoriška veikla šio straipsnio 1 dalies 1 ir 2 punktuose nurodytose įstaigose, įmonėse ir organizacijose arba besiversdami individualia veikla ar teikdami paslaugas juridiniams </w:t>
                          </w:r>
                          <w:r>
                            <w:rPr>
                              <w:szCs w:val="24"/>
                            </w:rPr>
                            <w:t xml:space="preserve">ar fiziniams asmenims, taip pat vykdydami bet kokią kitą veiklą, jeigu ši veikla, paslaugos ar juridinio asmens, kuriam teikiamos paslaugos, veikla tiesioginiais ir reguliariais kontaktais susijusios su vaikais, privalo turėti suformuotą galiojantį teisėto darbo su vaikais kodą, o darbdavys, priimančioji organizacija, juridinis asmuo, kuris pasitelkia asmenį teikti paslaugas, priima asmenį atlikti praktiką, stažuotis, teisėto darbo su vaikais kodo galiojimą turi tikrinti periodiškai, bet ne rečiau kaip kartą per kalendorinius metus. </w:t>
                          </w:r>
                          <w:r>
                            <w:rPr>
                              <w:bCs/>
                              <w:szCs w:val="24"/>
                            </w:rPr>
                            <w:t xml:space="preserve">Jeigu priimant asmenį į darbą, leidžiant jam atlikti praktiką, stažuotis, teikti paslaugas ar pasitelkiant savanorį jis neturi suformuoto teisėto darbo su vaikais kodo, dėl šio kodo išdavimo kreipiasi pats darbdavys, priimančioji organizacija, juridinis asmuo, kuris pasitelkia šį asmenį teikti paslaugas, priima atlikti praktiką ar stažuotis. Jeigu asmuo, ketinantis verstis individualia veikla ar vykdyti bet kokią kitą veiklą, neturi suformuoto teisėto darbo su vaikais kodo, dėl šio kodo išdavimo kreipiasi pats asmuo. </w:t>
                          </w:r>
                          <w:r>
                            <w:rPr>
                              <w:szCs w:val="24"/>
                            </w:rPr>
                            <w:t>Teisėto darbo su vaikais kodo išdavimo ir naudojimo tvarką nustato Vyriausybė ar jos įgaliota institucija.</w:t>
                          </w:r>
                          <w:r>
                            <w:rPr>
                              <w:bCs/>
                              <w:szCs w:val="24"/>
                              <w:lang w:eastAsia="lt-LT"/>
                            </w:rPr>
                            <w:t>“</w:t>
                          </w:r>
                        </w:p>
                      </w:sdtContent>
                    </w:sdt>
                  </w:sdtContent>
                </w:sdt>
              </w:sdtContent>
            </w:sdt>
            <w:sdt>
              <w:sdtPr>
                <w:alias w:val="1 str. 7 d."/>
                <w:tag w:val="part_101cbd0accbf4f0fb3ca9dca6c8c36f1"/>
                <w:lock w:val="sdtLocked"/>
                <w:richText/>
              </w:sdtPr>
              <w:sdtContent>
                <w:p>
                  <w:pPr>
                    <w:widowControl w:val="0"/>
                    <w:tabs>
                      <w:tab w:val="left" w:pos="1134"/>
                    </w:tabs>
                    <w:spacing w:line="400" w:lineRule="atLeast"/>
                    <w:ind w:firstLine="720"/>
                    <w:jc w:val="both"/>
                    <w:rPr>
                      <w:szCs w:val="24"/>
                    </w:rPr>
                  </w:pPr>
                  <w:sdt>
                    <w:sdtPr>
                      <w:alias w:val="Numeris"/>
                      <w:tag w:val="nr_101cbd0accbf4f0fb3ca9dca6c8c36f1"/>
                      <w:lock w:val="sdtLocked"/>
                      <w:richText/>
                    </w:sdtPr>
                    <w:sdtContent>
                      <w:r>
                        <w:rPr>
                          <w:szCs w:val="24"/>
                        </w:rPr>
                        <w:t>7</w:t>
                      </w:r>
                    </w:sdtContent>
                  </w:sdt>
                  <w:r>
                    <w:rPr>
                      <w:szCs w:val="24"/>
                    </w:rPr>
                    <w:t>. Pakeisti 30 straipsnio 9 dalies nuostatą iki dvitaškio ir ją išdėstyti taip:</w:t>
                  </w:r>
                </w:p>
                <w:sdt>
                  <w:sdtPr>
                    <w:alias w:val="citata"/>
                    <w:tag w:val="part_8f40a068e4804a259409aa9ee2081313"/>
                    <w:lock w:val="sdtLocked"/>
                    <w:richText/>
                  </w:sdtPr>
                  <w:sdtContent>
                    <w:sdt>
                      <w:sdtPr>
                        <w:alias w:val="9 d."/>
                        <w:tag w:val="part_7e527921742c41758ba6c8c53b3dec25"/>
                        <w:lock w:val="sdtLocked"/>
                        <w:richText/>
                      </w:sdtPr>
                      <w:sdtContent>
                        <w:p>
                          <w:pPr>
                            <w:widowControl w:val="0"/>
                            <w:tabs>
                              <w:tab w:val="left" w:pos="1134"/>
                            </w:tabs>
                            <w:spacing w:line="400" w:lineRule="atLeast"/>
                            <w:ind w:firstLine="720"/>
                            <w:jc w:val="both"/>
                            <w:rPr>
                              <w:szCs w:val="24"/>
                            </w:rPr>
                          </w:pPr>
                          <w:r>
                            <w:rPr>
                              <w:szCs w:val="24"/>
                            </w:rPr>
                            <w:t>„</w:t>
                          </w:r>
                          <w:sdt>
                            <w:sdtPr>
                              <w:alias w:val="Numeris"/>
                              <w:tag w:val="nr_7e527921742c41758ba6c8c53b3dec25"/>
                              <w:lock w:val="sdtLocked"/>
                              <w:richText/>
                            </w:sdtPr>
                            <w:sdtContent>
                              <w:r>
                                <w:rPr>
                                  <w:szCs w:val="24"/>
                                </w:rPr>
                                <w:t>9</w:t>
                              </w:r>
                            </w:sdtContent>
                          </w:sdt>
                          <w:r>
                            <w:rPr>
                              <w:szCs w:val="24"/>
                            </w:rPr>
                            <w:t xml:space="preserve">. Jeigu asmuo, kuriam taikomi šio straipsnio </w:t>
                          </w:r>
                          <w:r>
                            <w:rPr>
                              <w:szCs w:val="24"/>
                              <w:shd w:val="clear" w:color="auto" w:fill="FFFFFF"/>
                            </w:rPr>
                            <w:t xml:space="preserve">1 dalyje nustatyti apribojimai, priimamas dirbti, atlieka praktiką, stažuojasi, pasitelkiamas savanoriauti, pradeda užsiimti individualia veikla, teikti paslaugas ar vykdyti bet kokią kitą veiklą, bet paaiškėja, kad jis yra pateikęs melagingus ar tikrovės neatitinkančius duomenis apie save, arba įsiteisėja apkaltinamasis teismo nuosprendis, kuriuo šis asmuo yra pripažintas kaltu dėl nusikalstamų veikų, nurodytų šio straipsnio 1 dalyje, arba asmuo, padaręs seksualinius nusikaltimus, yra </w:t>
                          </w:r>
                          <w:r>
                            <w:rPr>
                              <w:bCs/>
                              <w:szCs w:val="24"/>
                              <w:shd w:val="clear" w:color="auto" w:fill="FFFFFF"/>
                            </w:rPr>
                            <w:t>atleidžiamas</w:t>
                          </w:r>
                          <w:r>
                            <w:rPr>
                              <w:b/>
                              <w:bCs/>
                              <w:szCs w:val="24"/>
                              <w:shd w:val="clear" w:color="auto" w:fill="FFFFFF"/>
                            </w:rPr>
                            <w:t xml:space="preserve"> </w:t>
                          </w:r>
                          <w:r>
                            <w:rPr>
                              <w:szCs w:val="24"/>
                              <w:shd w:val="clear" w:color="auto" w:fill="FFFFFF"/>
                            </w:rPr>
                            <w:t>nuo baudžiamosios atsakomybės:</w:t>
                          </w:r>
                          <w:r>
                            <w:rPr>
                              <w:szCs w:val="24"/>
                            </w:rPr>
                            <w:t>“.</w:t>
                          </w:r>
                        </w:p>
                      </w:sdtContent>
                    </w:sdt>
                  </w:sdtContent>
                </w:sdt>
              </w:sdtContent>
            </w:sdt>
            <w:sdt>
              <w:sdtPr>
                <w:alias w:val="1 str. 8 d."/>
                <w:tag w:val="part_87cfeb0dc0c148b8b06330a066881168"/>
                <w:lock w:val="sdtLocked"/>
                <w:richText/>
              </w:sdtPr>
              <w:sdtContent>
                <w:p>
                  <w:pPr>
                    <w:widowControl w:val="0"/>
                    <w:tabs>
                      <w:tab w:val="left" w:pos="1134"/>
                    </w:tabs>
                    <w:spacing w:line="400" w:lineRule="atLeast"/>
                    <w:ind w:firstLine="720"/>
                    <w:jc w:val="both"/>
                    <w:rPr>
                      <w:szCs w:val="24"/>
                    </w:rPr>
                  </w:pPr>
                  <w:sdt>
                    <w:sdtPr>
                      <w:alias w:val="Numeris"/>
                      <w:tag w:val="nr_87cfeb0dc0c148b8b06330a066881168"/>
                      <w:lock w:val="sdtLocked"/>
                      <w:richText/>
                    </w:sdtPr>
                    <w:sdtContent>
                      <w:r>
                        <w:rPr>
                          <w:szCs w:val="24"/>
                        </w:rPr>
                        <w:t>8</w:t>
                      </w:r>
                    </w:sdtContent>
                  </w:sdt>
                  <w:r>
                    <w:rPr>
                      <w:szCs w:val="24"/>
                    </w:rPr>
                    <w:t>. Pakeisti 30 straipsnio 10 dalies 2 punktą ir jį išdėstyti taip:</w:t>
                  </w:r>
                </w:p>
                <w:sdt>
                  <w:sdtPr>
                    <w:alias w:val="citata"/>
                    <w:tag w:val="part_96c4b11adc45456990491ed7ec36dcb4"/>
                    <w:lock w:val="sdtLocked"/>
                    <w:richText/>
                  </w:sdtPr>
                  <w:sdtContent>
                    <w:sdt>
                      <w:sdtPr>
                        <w:alias w:val="2 p."/>
                        <w:tag w:val="part_557a2de16d714d9d8cd697724fe42658"/>
                        <w:lock w:val="sdtLocked"/>
                        <w:richText/>
                      </w:sdtPr>
                      <w:sdtContent>
                        <w:p>
                          <w:pPr>
                            <w:widowControl w:val="0"/>
                            <w:tabs>
                              <w:tab w:val="left" w:pos="1134"/>
                            </w:tabs>
                            <w:spacing w:line="400" w:lineRule="atLeast"/>
                            <w:ind w:firstLine="720"/>
                            <w:jc w:val="both"/>
                            <w:rPr>
                              <w:szCs w:val="24"/>
                            </w:rPr>
                          </w:pPr>
                          <w:r>
                            <w:rPr>
                              <w:szCs w:val="24"/>
                            </w:rPr>
                            <w:t>„</w:t>
                          </w:r>
                          <w:sdt>
                            <w:sdtPr>
                              <w:alias w:val="Numeris"/>
                              <w:tag w:val="nr_557a2de16d714d9d8cd697724fe42658"/>
                              <w:lock w:val="sdtLocked"/>
                              <w:richText/>
                            </w:sdtPr>
                            <w:sdtContent>
                              <w:r>
                                <w:rPr>
                                  <w:szCs w:val="24"/>
                                </w:rPr>
                                <w:t>2</w:t>
                              </w:r>
                            </w:sdtContent>
                          </w:sdt>
                          <w:r>
                            <w:rPr>
                              <w:szCs w:val="24"/>
                            </w:rPr>
                            <w:t xml:space="preserve">) jis įsiteisėjusiu apkaltinamuoju teismo nuosprendžiu yra pripažintas kaltu padaręs kitą, nei nurodyta šio straipsnio </w:t>
                          </w:r>
                          <w:r>
                            <w:rPr>
                              <w:szCs w:val="24"/>
                              <w:shd w:val="clear" w:color="auto" w:fill="FFFFFF"/>
                            </w:rPr>
                            <w:t xml:space="preserve">1 dalyje, </w:t>
                          </w:r>
                          <w:r>
                            <w:rPr>
                              <w:bCs/>
                              <w:szCs w:val="24"/>
                              <w:shd w:val="clear" w:color="auto" w:fill="FFFFFF"/>
                            </w:rPr>
                            <w:t>tyčinį</w:t>
                          </w:r>
                          <w:r>
                            <w:rPr>
                              <w:b/>
                              <w:bCs/>
                              <w:szCs w:val="24"/>
                              <w:shd w:val="clear" w:color="auto" w:fill="FFFFFF"/>
                            </w:rPr>
                            <w:t xml:space="preserve"> </w:t>
                          </w:r>
                          <w:r>
                            <w:rPr>
                              <w:szCs w:val="24"/>
                              <w:shd w:val="clear" w:color="auto" w:fill="FFFFFF"/>
                            </w:rPr>
                            <w:t>nusikaltimą, jeigu teistumas už jį neišnykęs ar nepanaikintas;</w:t>
                          </w:r>
                          <w:r>
                            <w:rPr>
                              <w:szCs w:val="24"/>
                            </w:rPr>
                            <w:t>“.</w:t>
                          </w:r>
                        </w:p>
                        <w:p>
                          <w:pPr>
                            <w:widowControl w:val="0"/>
                            <w:tabs>
                              <w:tab w:val="left" w:pos="1134"/>
                            </w:tabs>
                            <w:spacing w:line="400" w:lineRule="atLeast"/>
                            <w:ind w:firstLine="720"/>
                            <w:jc w:val="both"/>
                            <w:rPr>
                              <w:szCs w:val="24"/>
                            </w:rPr>
                          </w:pPr>
                        </w:p>
                      </w:sdtContent>
                    </w:sdt>
                  </w:sdtContent>
                </w:sdt>
              </w:sdtContent>
            </w:sdt>
          </w:sdtContent>
        </w:sdt>
        <w:sdt>
          <w:sdtPr>
            <w:alias w:val="2 str."/>
            <w:tag w:val="part_8a4973f1752a4e7e97cf61671858e562"/>
            <w:lock w:val="sdtLocked"/>
            <w:richText/>
          </w:sdtPr>
          <w:sdtContent>
            <w:p>
              <w:pPr>
                <w:widowControl w:val="0"/>
                <w:tabs>
                  <w:tab w:val="left" w:pos="1134"/>
                </w:tabs>
                <w:spacing w:line="400" w:lineRule="atLeast"/>
                <w:ind w:firstLine="720"/>
                <w:jc w:val="both"/>
                <w:rPr>
                  <w:b/>
                  <w:bCs/>
                  <w:szCs w:val="24"/>
                </w:rPr>
              </w:pPr>
              <w:sdt>
                <w:sdtPr>
                  <w:alias w:val="Numeris"/>
                  <w:tag w:val="nr_8a4973f1752a4e7e97cf61671858e562"/>
                  <w:lock w:val="sdtLocked"/>
                  <w:richText/>
                </w:sdtPr>
                <w:sdtContent>
                  <w:r>
                    <w:rPr>
                      <w:b/>
                      <w:bCs/>
                      <w:szCs w:val="24"/>
                    </w:rPr>
                    <w:t>2</w:t>
                  </w:r>
                </w:sdtContent>
              </w:sdt>
              <w:r>
                <w:rPr>
                  <w:b/>
                  <w:bCs/>
                  <w:szCs w:val="24"/>
                </w:rPr>
                <w:t xml:space="preserve"> straipsnis. </w:t>
              </w:r>
              <w:sdt>
                <w:sdtPr>
                  <w:alias w:val="Pavadinimas"/>
                  <w:tag w:val="title_8a4973f1752a4e7e97cf61671858e562"/>
                  <w:lock w:val="sdtLocked"/>
                  <w:richText/>
                </w:sdtPr>
                <w:sdtContent>
                  <w:r>
                    <w:rPr>
                      <w:b/>
                      <w:bCs/>
                      <w:szCs w:val="24"/>
                    </w:rPr>
                    <w:t>36</w:t>
                  </w:r>
                  <w:r>
                    <w:rPr>
                      <w:b/>
                      <w:bCs/>
                      <w:szCs w:val="24"/>
                      <w:vertAlign w:val="superscript"/>
                    </w:rPr>
                    <w:t>4</w:t>
                  </w:r>
                  <w:r>
                    <w:rPr>
                      <w:b/>
                      <w:bCs/>
                      <w:szCs w:val="24"/>
                    </w:rPr>
                    <w:t xml:space="preserve"> straipsnio pakeitimas</w:t>
                  </w:r>
                </w:sdtContent>
              </w:sdt>
            </w:p>
            <w:sdt>
              <w:sdtPr>
                <w:alias w:val="2 str. 1 d."/>
                <w:tag w:val="part_f956199032da46b085181b0972666437"/>
                <w:lock w:val="sdtLocked"/>
                <w:richText/>
              </w:sdtPr>
              <w:sdtContent>
                <w:p>
                  <w:pPr>
                    <w:widowControl w:val="0"/>
                    <w:tabs>
                      <w:tab w:val="left" w:pos="1134"/>
                    </w:tabs>
                    <w:spacing w:line="400" w:lineRule="atLeast"/>
                    <w:ind w:firstLine="720"/>
                    <w:jc w:val="both"/>
                    <w:rPr>
                      <w:szCs w:val="24"/>
                    </w:rPr>
                  </w:pPr>
                  <w:sdt>
                    <w:sdtPr>
                      <w:alias w:val="Numeris"/>
                      <w:tag w:val="nr_f956199032da46b085181b0972666437"/>
                      <w:lock w:val="sdtLocked"/>
                      <w:richText/>
                    </w:sdtPr>
                    <w:sdtContent>
                      <w:r>
                        <w:rPr>
                          <w:szCs w:val="24"/>
                        </w:rPr>
                        <w:t>1</w:t>
                      </w:r>
                    </w:sdtContent>
                  </w:sdt>
                  <w:r>
                    <w:rPr>
                      <w:szCs w:val="24"/>
                    </w:rPr>
                    <w:t>. Pakeisti 36</w:t>
                  </w:r>
                  <w:r>
                    <w:rPr>
                      <w:szCs w:val="24"/>
                      <w:vertAlign w:val="superscript"/>
                    </w:rPr>
                    <w:t>4</w:t>
                  </w:r>
                  <w:r>
                    <w:rPr>
                      <w:szCs w:val="24"/>
                    </w:rPr>
                    <w:t xml:space="preserve"> straipsnio 7 dalį ir ją išdėstyti taip:</w:t>
                  </w:r>
                </w:p>
                <w:sdt>
                  <w:sdtPr>
                    <w:alias w:val="citata"/>
                    <w:tag w:val="part_47683d5b60f348cfafb7f4f68d43d193"/>
                    <w:lock w:val="sdtLocked"/>
                    <w:richText/>
                  </w:sdtPr>
                  <w:sdtContent>
                    <w:sdt>
                      <w:sdtPr>
                        <w:alias w:val="7 d."/>
                        <w:tag w:val="part_2668d1d4bd8c467c82d00fe9e3f0bd72"/>
                        <w:lock w:val="sdtLocked"/>
                        <w:richText/>
                      </w:sdtPr>
                      <w:sdtContent>
                        <w:p>
                          <w:pPr>
                            <w:widowControl w:val="0"/>
                            <w:tabs>
                              <w:tab w:val="left" w:pos="1134"/>
                            </w:tabs>
                            <w:spacing w:line="400" w:lineRule="atLeast"/>
                            <w:ind w:firstLine="720"/>
                            <w:jc w:val="both"/>
                            <w:rPr>
                              <w:szCs w:val="24"/>
                            </w:rPr>
                          </w:pPr>
                          <w:r>
                            <w:rPr>
                              <w:szCs w:val="24"/>
                            </w:rPr>
                            <w:t>„</w:t>
                          </w:r>
                          <w:sdt>
                            <w:sdtPr>
                              <w:alias w:val="Numeris"/>
                              <w:tag w:val="nr_2668d1d4bd8c467c82d00fe9e3f0bd72"/>
                              <w:lock w:val="sdtLocked"/>
                              <w:richText/>
                            </w:sdtPr>
                            <w:sdtContent>
                              <w:r>
                                <w:rPr>
                                  <w:szCs w:val="24"/>
                                </w:rPr>
                                <w:t>7</w:t>
                              </w:r>
                            </w:sdtContent>
                          </w:sdt>
                          <w:r>
                            <w:rPr>
                              <w:szCs w:val="24"/>
                            </w:rPr>
                            <w:t xml:space="preserve">. Fiziniai asmenys, sutinkantys užtikrinti šio straipsnio </w:t>
                          </w:r>
                          <w:r>
                            <w:rPr>
                              <w:szCs w:val="24"/>
                              <w:shd w:val="clear" w:color="auto" w:fill="FFFFFF"/>
                            </w:rPr>
                            <w:t xml:space="preserve">1 dalies 1 ar 2 punkte numatytą vaiko laikinąją priežiūrą, pateikia Valstybės vaiko teisių apsaugos ir įvaikinimo tarnybai ar jos įgaliotam teritoriniam skyriui rašytinį įsipareigojimą užtikrinti vaikui saugią aplinką. Vaiką laikinai prižiūrinčiu asmeniu negali būti asmuo, </w:t>
                          </w:r>
                          <w:r>
                            <w:rPr>
                              <w:bCs/>
                              <w:szCs w:val="24"/>
                            </w:rPr>
                            <w:t>kuriam taikomi šio įstatymo 30 straipsnio 1 dalyje nustatyti apribojimai</w:t>
                          </w:r>
                          <w:r>
                            <w:rPr>
                              <w:szCs w:val="24"/>
                              <w:shd w:val="clear" w:color="auto" w:fill="FFFFFF"/>
                            </w:rPr>
                            <w:t>.</w:t>
                          </w:r>
                          <w:r>
                            <w:rPr>
                              <w:szCs w:val="24"/>
                            </w:rPr>
                            <w:t>“</w:t>
                          </w:r>
                        </w:p>
                      </w:sdtContent>
                    </w:sdt>
                  </w:sdtContent>
                </w:sdt>
              </w:sdtContent>
            </w:sdt>
            <w:sdt>
              <w:sdtPr>
                <w:alias w:val="2 str. 2 d."/>
                <w:tag w:val="part_60113f65f8734eb08572e37d4586244d"/>
                <w:lock w:val="sdtLocked"/>
                <w:richText/>
              </w:sdtPr>
              <w:sdtContent>
                <w:p>
                  <w:pPr>
                    <w:widowControl w:val="0"/>
                    <w:tabs>
                      <w:tab w:val="left" w:pos="1134"/>
                    </w:tabs>
                    <w:spacing w:line="400" w:lineRule="atLeast"/>
                    <w:ind w:firstLine="720"/>
                    <w:jc w:val="both"/>
                    <w:rPr>
                      <w:szCs w:val="24"/>
                    </w:rPr>
                  </w:pPr>
                  <w:sdt>
                    <w:sdtPr>
                      <w:alias w:val="Numeris"/>
                      <w:tag w:val="nr_60113f65f8734eb08572e37d4586244d"/>
                      <w:lock w:val="sdtLocked"/>
                      <w:richText/>
                    </w:sdtPr>
                    <w:sdtContent>
                      <w:r>
                        <w:rPr>
                          <w:szCs w:val="24"/>
                        </w:rPr>
                        <w:t>2</w:t>
                      </w:r>
                    </w:sdtContent>
                  </w:sdt>
                  <w:r>
                    <w:rPr>
                      <w:szCs w:val="24"/>
                    </w:rPr>
                    <w:t>. Pakeisti 36</w:t>
                  </w:r>
                  <w:r>
                    <w:rPr>
                      <w:szCs w:val="24"/>
                      <w:vertAlign w:val="superscript"/>
                    </w:rPr>
                    <w:t>4</w:t>
                  </w:r>
                  <w:r>
                    <w:rPr>
                      <w:szCs w:val="24"/>
                    </w:rPr>
                    <w:t xml:space="preserve"> straipsnio 8 dalį ir ją išdėstyti taip:</w:t>
                  </w:r>
                </w:p>
                <w:sdt>
                  <w:sdtPr>
                    <w:alias w:val="citata"/>
                    <w:tag w:val="part_cff75e8235e14b708e49ea6125e9bc47"/>
                    <w:lock w:val="sdtLocked"/>
                    <w:richText/>
                  </w:sdtPr>
                  <w:sdtContent>
                    <w:sdt>
                      <w:sdtPr>
                        <w:alias w:val="8 d."/>
                        <w:tag w:val="part_990fe1396fbc48d9a4bc87680aff7071"/>
                        <w:lock w:val="sdtLocked"/>
                        <w:richText/>
                      </w:sdtPr>
                      <w:sdtContent>
                        <w:p>
                          <w:pPr>
                            <w:widowControl w:val="0"/>
                            <w:tabs>
                              <w:tab w:val="left" w:pos="1134"/>
                            </w:tabs>
                            <w:spacing w:line="400" w:lineRule="atLeast"/>
                            <w:ind w:firstLine="720"/>
                            <w:jc w:val="both"/>
                            <w:rPr>
                              <w:szCs w:val="24"/>
                            </w:rPr>
                          </w:pPr>
                          <w:r>
                            <w:rPr>
                              <w:szCs w:val="24"/>
                            </w:rPr>
                            <w:t>„</w:t>
                          </w:r>
                          <w:sdt>
                            <w:sdtPr>
                              <w:alias w:val="Numeris"/>
                              <w:tag w:val="nr_990fe1396fbc48d9a4bc87680aff7071"/>
                              <w:lock w:val="sdtLocked"/>
                              <w:richText/>
                            </w:sdtPr>
                            <w:sdtContent>
                              <w:r>
                                <w:rPr>
                                  <w:szCs w:val="24"/>
                                </w:rPr>
                                <w:t>8</w:t>
                              </w:r>
                            </w:sdtContent>
                          </w:sdt>
                          <w:r>
                            <w:rPr>
                              <w:szCs w:val="24"/>
                            </w:rPr>
                            <w:t xml:space="preserve">. Valstybės vaiko teisių apsaugos ir įvaikinimo tarnyba ar jos įgaliotas teritorinis skyrius, pritaikę šio straipsnio </w:t>
                          </w:r>
                          <w:r>
                            <w:rPr>
                              <w:szCs w:val="24"/>
                              <w:shd w:val="clear" w:color="auto" w:fill="FFFFFF"/>
                            </w:rPr>
                            <w:t xml:space="preserve">1 dalies 1 ar 2 punkte nurodytą vaiko laikinosios priežiūros priemonę, nedelsdami, bet ne vėliau kaip kitą darbo dieną nuo vaiko laikinosios priežiūros priemonės pritaikymo dienos Įtariamųjų, kaltinamųjų ir nuteistųjų registre patikrina, ar vaiką laikinai </w:t>
                          </w:r>
                          <w:r>
                            <w:rPr>
                              <w:bCs/>
                              <w:szCs w:val="24"/>
                            </w:rPr>
                            <w:t>prižiūrinčiam asmeniui netaikomi šio įstatymo 30 straipsnio 1 dalyje nustatyti apribojimai</w:t>
                          </w:r>
                          <w:r>
                            <w:rPr>
                              <w:szCs w:val="24"/>
                              <w:shd w:val="clear" w:color="auto" w:fill="FFFFFF"/>
                            </w:rPr>
                            <w:t>. Išimtiniais atvejais, kai Valstybės vaiko teisių apsaugos ir įvaikinimo tarnyba ar jos įgaliotas teritorinis skyrius neturi techninių galimybių patys tiesiogiai patikrinti šią informaciją Įtariamųjų, kaltinamųjų ir nuteistųjų registre, o skubiai patikrinti informaciją yra objektyviai būtina, šiai informacijai patikrinti gali būti pasitelkiami policijos pareigūnai.</w:t>
                          </w:r>
                          <w:r>
                            <w:rPr>
                              <w:szCs w:val="24"/>
                            </w:rPr>
                            <w:t>“</w:t>
                          </w:r>
                        </w:p>
                        <w:p>
                          <w:pPr>
                            <w:widowControl w:val="0"/>
                            <w:spacing w:line="400" w:lineRule="atLeast"/>
                            <w:ind w:firstLine="720"/>
                            <w:jc w:val="both"/>
                            <w:rPr>
                              <w:szCs w:val="24"/>
                              <w:lang w:eastAsia="lt-LT"/>
                            </w:rPr>
                          </w:pPr>
                        </w:p>
                      </w:sdtContent>
                    </w:sdt>
                  </w:sdtContent>
                </w:sdt>
              </w:sdtContent>
            </w:sdt>
          </w:sdtContent>
        </w:sdt>
        <w:sdt>
          <w:sdtPr>
            <w:alias w:val="3 str."/>
            <w:tag w:val="part_76fa7cc23a5b4901b9bf770a6e55db07"/>
            <w:lock w:val="sdtLocked"/>
            <w:richText/>
          </w:sdtPr>
          <w:sdtContent>
            <w:p>
              <w:pPr>
                <w:widowControl w:val="0"/>
                <w:spacing w:line="400" w:lineRule="atLeast"/>
                <w:ind w:firstLine="720"/>
                <w:jc w:val="both"/>
                <w:rPr>
                  <w:b/>
                  <w:bCs/>
                  <w:szCs w:val="24"/>
                  <w:lang w:eastAsia="lt-LT"/>
                </w:rPr>
              </w:pPr>
              <w:sdt>
                <w:sdtPr>
                  <w:alias w:val="Numeris"/>
                  <w:tag w:val="nr_76fa7cc23a5b4901b9bf770a6e55db07"/>
                  <w:lock w:val="sdtLocked"/>
                  <w:richText/>
                </w:sdtPr>
                <w:sdtContent>
                  <w:r>
                    <w:rPr>
                      <w:b/>
                      <w:bCs/>
                      <w:szCs w:val="24"/>
                      <w:lang w:eastAsia="lt-LT"/>
                    </w:rPr>
                    <w:t>3</w:t>
                  </w:r>
                </w:sdtContent>
              </w:sdt>
              <w:r>
                <w:rPr>
                  <w:b/>
                  <w:bCs/>
                  <w:szCs w:val="24"/>
                  <w:lang w:eastAsia="lt-LT"/>
                </w:rPr>
                <w:t xml:space="preserve"> straipsnis. </w:t>
              </w:r>
              <w:sdt>
                <w:sdtPr>
                  <w:alias w:val="Pavadinimas"/>
                  <w:tag w:val="title_76fa7cc23a5b4901b9bf770a6e55db07"/>
                  <w:lock w:val="sdtLocked"/>
                  <w:richText/>
                </w:sdtPr>
                <w:sdtContent>
                  <w:r>
                    <w:rPr>
                      <w:b/>
                      <w:bCs/>
                      <w:szCs w:val="24"/>
                      <w:lang w:eastAsia="lt-LT"/>
                    </w:rPr>
                    <w:t>Įstatymo įsigaliojimas, įgyvendinimas ir taikymas</w:t>
                  </w:r>
                </w:sdtContent>
              </w:sdt>
            </w:p>
            <w:sdt>
              <w:sdtPr>
                <w:alias w:val="3 str. 1 d."/>
                <w:tag w:val="part_1b9a7de46a4445abac2413d3036a28f7"/>
                <w:lock w:val="sdtLocked"/>
                <w:richText/>
              </w:sdtPr>
              <w:sdtContent>
                <w:p>
                  <w:pPr>
                    <w:widowControl w:val="0"/>
                    <w:spacing w:line="400" w:lineRule="atLeast"/>
                    <w:ind w:firstLine="720"/>
                    <w:jc w:val="both"/>
                    <w:rPr>
                      <w:szCs w:val="24"/>
                    </w:rPr>
                  </w:pPr>
                  <w:sdt>
                    <w:sdtPr>
                      <w:alias w:val="Numeris"/>
                      <w:tag w:val="nr_1b9a7de46a4445abac2413d3036a28f7"/>
                      <w:lock w:val="sdtLocked"/>
                      <w:richText/>
                    </w:sdtPr>
                    <w:sdtContent>
                      <w:r>
                        <w:rPr>
                          <w:szCs w:val="24"/>
                        </w:rPr>
                        <w:t>1</w:t>
                      </w:r>
                    </w:sdtContent>
                  </w:sdt>
                  <w:r>
                    <w:rPr>
                      <w:szCs w:val="24"/>
                    </w:rPr>
                    <w:t>. Šio įstatymo 1 straipsnio 6 dalis įsigalioja 2025 m. rugpjūčio 1 d.</w:t>
                  </w:r>
                </w:p>
              </w:sdtContent>
            </w:sdt>
            <w:sdt>
              <w:sdtPr>
                <w:alias w:val="3 str. 2 d."/>
                <w:tag w:val="part_dd18d24b3bfc49f8932913dad6e38144"/>
                <w:lock w:val="sdtLocked"/>
                <w:richText/>
              </w:sdtPr>
              <w:sdtContent>
                <w:p>
                  <w:pPr>
                    <w:widowControl w:val="0"/>
                    <w:spacing w:line="400" w:lineRule="atLeast"/>
                    <w:ind w:firstLine="720"/>
                    <w:jc w:val="both"/>
                    <w:rPr>
                      <w:szCs w:val="24"/>
                    </w:rPr>
                  </w:pPr>
                  <w:sdt>
                    <w:sdtPr>
                      <w:alias w:val="Numeris"/>
                      <w:tag w:val="nr_dd18d24b3bfc49f8932913dad6e38144"/>
                      <w:lock w:val="sdtLocked"/>
                      <w:richText/>
                    </w:sdtPr>
                    <w:sdtContent>
                      <w:r>
                        <w:rPr>
                          <w:szCs w:val="24"/>
                        </w:rPr>
                        <w:t>2</w:t>
                      </w:r>
                    </w:sdtContent>
                  </w:sdt>
                  <w:r>
                    <w:rPr>
                      <w:szCs w:val="24"/>
                    </w:rPr>
                    <w:t>. Informatikos ir ryšių departamentas prie Lietuvos Respublikos vidaus reikalų ministerijos (toliau – Informatikos ir ryšių departamentas) iki 2025 m. liepos 31 d. priima šio įstatymo 1 straipsnio 6 dalies įgyvendinamąjį teisės aktą.</w:t>
                  </w:r>
                </w:p>
              </w:sdtContent>
            </w:sdt>
            <w:sdt>
              <w:sdtPr>
                <w:alias w:val="3 str. 3 d."/>
                <w:tag w:val="part_c799a0389a114cfcb9973622f1cbfb74"/>
                <w:lock w:val="sdtLocked"/>
                <w:richText/>
              </w:sdtPr>
              <w:sdtContent>
                <w:p>
                  <w:pPr>
                    <w:widowControl w:val="0"/>
                    <w:spacing w:line="400" w:lineRule="atLeast"/>
                    <w:ind w:firstLine="720"/>
                    <w:jc w:val="both"/>
                    <w:rPr>
                      <w:szCs w:val="24"/>
                    </w:rPr>
                  </w:pPr>
                  <w:sdt>
                    <w:sdtPr>
                      <w:alias w:val="Numeris"/>
                      <w:tag w:val="nr_c799a0389a114cfcb9973622f1cbfb74"/>
                      <w:lock w:val="sdtLocked"/>
                      <w:richText/>
                    </w:sdtPr>
                    <w:sdtContent>
                      <w:r>
                        <w:rPr>
                          <w:szCs w:val="24"/>
                        </w:rPr>
                        <w:t>3</w:t>
                      </w:r>
                    </w:sdtContent>
                  </w:sdt>
                  <w:r>
                    <w:rPr>
                      <w:szCs w:val="24"/>
                    </w:rPr>
                    <w:t xml:space="preserve">. Darbdaviai, savanoriškos veiklos organizatoriai, taip pat juridinių asmenų, pasitelkiančių asmenis teikti paslaugas ar priimančių asmenis atlikti praktiką, stažuotis, vadovai ar jų įgalioti asmenys, kurie iki šio įstatymo įsigaliojimo jau yra patikrinę darbuotojų, savanorių, paslaugų teikėjų, praktikantų, besistažuojančių asmenų teisėto darbo su vaikais kodus, šiuos kodus pakartotinai turi patikrinti ne vėliau kaip iki 2025 m. rugsėjo 1 d. </w:t>
                  </w:r>
                </w:p>
              </w:sdtContent>
            </w:sdt>
            <w:sdt>
              <w:sdtPr>
                <w:alias w:val="3 str. 4 d."/>
                <w:tag w:val="part_b97cb67aaf994cd2a21a563deffc7ff9"/>
                <w:lock w:val="sdtLocked"/>
                <w:richText/>
              </w:sdtPr>
              <w:sdtContent>
                <w:p>
                  <w:pPr>
                    <w:widowControl w:val="0"/>
                    <w:spacing w:line="400" w:lineRule="atLeast"/>
                    <w:ind w:firstLine="720"/>
                    <w:jc w:val="both"/>
                    <w:rPr>
                      <w:szCs w:val="24"/>
                    </w:rPr>
                  </w:pPr>
                  <w:sdt>
                    <w:sdtPr>
                      <w:alias w:val="Numeris"/>
                      <w:tag w:val="nr_b97cb67aaf994cd2a21a563deffc7ff9"/>
                      <w:lock w:val="sdtLocked"/>
                      <w:richText/>
                    </w:sdtPr>
                    <w:sdtContent>
                      <w:r>
                        <w:rPr>
                          <w:szCs w:val="24"/>
                        </w:rPr>
                        <w:t>4</w:t>
                      </w:r>
                    </w:sdtContent>
                  </w:sdt>
                  <w:r>
                    <w:rPr>
                      <w:szCs w:val="24"/>
                    </w:rPr>
                    <w:t>.</w:t>
                  </w:r>
                  <w:r>
                    <w:rPr>
                      <w:bCs/>
                      <w:szCs w:val="24"/>
                    </w:rPr>
                    <w:t xml:space="preserve"> </w:t>
                  </w:r>
                  <w:r>
                    <w:rPr>
                      <w:szCs w:val="24"/>
                    </w:rPr>
                    <w:t>Informatikos ir ryšių departamentas</w:t>
                  </w:r>
                  <w:r>
                    <w:rPr>
                      <w:sz w:val="22"/>
                      <w:szCs w:val="24"/>
                    </w:rPr>
                    <w:t xml:space="preserve"> </w:t>
                  </w:r>
                  <w:r>
                    <w:rPr>
                      <w:szCs w:val="24"/>
                    </w:rPr>
                    <w:t>iki 2025 m. rugpjūčio 1 d. peržiūri asmenų, kuriems iki šio įstatymo įsigaliojimo dienos buvo išduoti teisėto darbo su vaikais kodai, duomenis Įtariamųjų, kaltinamųjų ir nuteistųjų registre ir, jeigu šiame registre yra duomenų, dėl kurių asmenims yra taikomi šio įstatymo 1 straipsnyje išdėstytoje Lietuvos Respublikos vaiko teisių apsaugos pagrindų įstatymo 30 straipsnio 1 dalyje nustatyti ribojimai, pakeičia teisėto darbo su vaikais kodo galiojimo būseną.</w:t>
                  </w:r>
                </w:p>
                <w:p>
                  <w:pPr>
                    <w:spacing w:line="360" w:lineRule="auto"/>
                    <w:ind w:firstLine="720"/>
                    <w:jc w:val="both"/>
                    <w:rPr>
                      <w:i/>
                      <w:szCs w:val="24"/>
                    </w:rPr>
                  </w:pPr>
                </w:p>
              </w:sdtContent>
            </w:sdt>
          </w:sdtContent>
        </w:sdt>
        <w:sdt>
          <w:sdtPr>
            <w:alias w:val="signatura"/>
            <w:tag w:val="part_873891b6ac2b4f7eb99015c84b6908b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0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18D8802-0632-412C-8BD5-D840594005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65c7fe8af794cb5922128808932f26b" PartId="c4611db63e904eaab09cd161b0f65f8f">
    <Part Type="straipsnis" Nr="1" Abbr="1 str." Title="30 straipsnio pakeitimas" DocPartId="811774e9450744c58ed64654944ce9e2" PartId="3a3f72855b3549bd88aaf432c52d9f24">
      <Part Type="strDalis" Nr="1" Abbr="1 str. 1 d." DocPartId="bfc3f29c4e114867a1cd1021bcd5b54b" PartId="d0602bb3f3f24c0b9dc29145d164e8c8">
        <Part Type="citata" DocPartId="82e105ec97ae478b8fbb8e92633f02f8" PartId="85c3a36549c9487ab54c77fe29c931bf">
          <Part Type="strDalis" Nr="1" Abbr="1 d." DocPartId="aa1a61a7f46841abb0997f8a481cbf4f" PartId="3a524f0f52ab46a284474a67d204095b"/>
        </Part>
      </Part>
      <Part Type="strDalis" Nr="2" Abbr="1 str. 2 d." DocPartId="de130511167f4b8887686e74b8b16c94" PartId="c1d870d892534993bfcbe0eacb9e009f">
        <Part Type="citata" DocPartId="cc3fc955c33644e98f948801de6e5c10" PartId="6f5b4c37f1ff4b939a331290275b1c03">
          <Part Type="strPunktas" Nr="1" Abbr="1 p." DocPartId="906065f3126b49d7afb390d2b379f9af" PartId="8d953e9fc4be48749d510f7f3b332b36"/>
        </Part>
      </Part>
      <Part Type="strDalis" Nr="3" Abbr="1 str. 3 d." DocPartId="fdb5621a192141dbbc70424ac028ae85" PartId="87d26ef88a564655a875157525c1a9ff">
        <Part Type="citata" DocPartId="155991ca5a1d463dbbc7af4cd76d3fd9" PartId="1c2ae5c506784bb984e38c0a18d44077">
          <Part Type="strDalis" Nr="1-1" Abbr="1-1 d." DocPartId="138101f52bc644cd812d5fc88386647c" PartId="4e9d14f9779a489097396859c0dde678"/>
        </Part>
      </Part>
      <Part Type="strDalis" Nr="4" Abbr="1 str. 4 d." DocPartId="0719f35c39394c38abcfca11f6af2030" PartId="3fd07864c7414c16a5192d6b0328191f">
        <Part Type="citata" DocPartId="5d42e1a97c514fd788a5899a28fb86fd" PartId="cd85861f10da44778cf8d236a97acb7c">
          <Part Type="strDalis" Nr="5" Abbr="5 d." DocPartId="247156032e784824b82104585453e58c" PartId="82cec94824124949a28b1141bcc3d653"/>
        </Part>
      </Part>
      <Part Type="strDalis" Nr="5" Abbr="1 str. 5 d." DocPartId="1fb3db8431c84a61a114ff5edfc71d67" PartId="54ffad40342e4db0a370706d319378ae">
        <Part Type="citata" DocPartId="3270de5cff6c4537a102997c4d73704c" PartId="3c1016567e51433f8b4cda551ce06aca">
          <Part Type="strDalis" Nr="6" Abbr="6 d." DocPartId="b14c4d8d2a944eae9048809d594794c6" PartId="ee75b5ade6704f9abd487931c74c672d"/>
        </Part>
      </Part>
      <Part Type="strDalis" Nr="6" Abbr="1 str. 6 d." DocPartId="d926d30322f24a86868452e5ca8515c7" PartId="0adca249a0ba436694d6414b15fb7f65">
        <Part Type="citata" DocPartId="ab9d0a2b6ee04d319e3fb20ff077016b" PartId="af7def2f2e4540a88530aadd10574777">
          <Part Type="strDalis" Nr="6" Abbr="6 d." DocPartId="f35f2ca2a22144b19262d1fef4564da6" PartId="244a2fcda3624b5eaa85d5c428a6bd09"/>
        </Part>
      </Part>
      <Part Type="strDalis" Nr="7" Abbr="1 str. 7 d." DocPartId="53e6f83964154137b8c0218173d60d95" PartId="101cbd0accbf4f0fb3ca9dca6c8c36f1">
        <Part Type="citata" DocPartId="384798fddb8b4c18bb99f833b4861338" PartId="8f40a068e4804a259409aa9ee2081313">
          <Part Type="strDalis" Nr="9" Abbr="9 d." DocPartId="9ee07ed6a90d452281dad74841364ec7" PartId="7e527921742c41758ba6c8c53b3dec25"/>
        </Part>
      </Part>
      <Part Type="strDalis" Nr="8" Abbr="1 str. 8 d." DocPartId="ff7c182125fe4d76866893a93e508dc1" PartId="87cfeb0dc0c148b8b06330a066881168">
        <Part Type="citata" DocPartId="fc65c81d17e440b2b40e7671f40f4759" PartId="96c4b11adc45456990491ed7ec36dcb4">
          <Part Type="strPunktas" Nr="2" Abbr="2 p." DocPartId="6d7dcae3bace40128c35ec941de354d4" PartId="557a2de16d714d9d8cd697724fe42658"/>
        </Part>
      </Part>
    </Part>
    <Part Type="straipsnis" Nr="2" Abbr="2 str." Title="36⁴ straipsnio pakeitimas" DocPartId="5e5c362bc43f4f4aac429e7a30495ab9" PartId="8a4973f1752a4e7e97cf61671858e562">
      <Part Type="strDalis" Nr="1" Abbr="2 str. 1 d." DocPartId="feaa8582385d499f8e2fe6ba9b15cc2d" PartId="f956199032da46b085181b0972666437">
        <Part Type="citata" DocPartId="c8ff3002b600477f88b369558abc78d0" PartId="47683d5b60f348cfafb7f4f68d43d193">
          <Part Type="strDalis" Nr="7" Abbr="7 d." DocPartId="602adc26c2824a978b95a39ac0701d65" PartId="2668d1d4bd8c467c82d00fe9e3f0bd72"/>
        </Part>
      </Part>
      <Part Type="strDalis" Nr="2" Abbr="2 str. 2 d." DocPartId="ac23fff6e24c49ae9130a7795c57f099" PartId="60113f65f8734eb08572e37d4586244d">
        <Part Type="citata" DocPartId="1cf8b19a661f4f9a97b2b55a2d1c584c" PartId="cff75e8235e14b708e49ea6125e9bc47">
          <Part Type="strDalis" Nr="8" Abbr="8 d." DocPartId="4e8773285da94f3b9a0837193aca64e3" PartId="990fe1396fbc48d9a4bc87680aff7071"/>
        </Part>
      </Part>
    </Part>
    <Part Type="straipsnis" Nr="3" Abbr="3 str." Title="Įstatymo įsigaliojimas, įgyvendinimas ir taikymas" DocPartId="5c04d784bc9f432b96039ded7b844dc9" PartId="76fa7cc23a5b4901b9bf770a6e55db07">
      <Part Type="strDalis" Nr="1" Abbr="3 str. 1 d." DocPartId="4ff12cf7e1a34208942c4dbd2fbcff28" PartId="1b9a7de46a4445abac2413d3036a28f7"/>
      <Part Type="strDalis" Nr="2" Abbr="3 str. 2 d." DocPartId="2d730d52d0104f1e9f278285c4b92d31" PartId="dd18d24b3bfc49f8932913dad6e38144"/>
      <Part Type="strDalis" Nr="3" Abbr="3 str. 3 d." DocPartId="8d3d0307e7d94a3da5891347d5c1f0ad" PartId="c799a0389a114cfcb9973622f1cbfb74"/>
      <Part Type="strDalis" Nr="4" Abbr="3 str. 4 d." DocPartId="9bc0efcca0f5484c927f97bc8fc71cfd" PartId="b97cb67aaf994cd2a21a563deffc7ff9"/>
    </Part>
    <Part Type="signatura" DocPartId="83cb8c44d1f443fc9cd281ee511cf81a" PartId="873891b6ac2b4f7eb99015c84b6908b6"/>
  </Part>
</Parts>
</file>

<file path=customXml/itemProps1.xml><?xml version="1.0" encoding="utf-8"?>
<ds:datastoreItem xmlns:ds="http://schemas.openxmlformats.org/officeDocument/2006/customXml" ds:itemID="{6086E6EB-C2C1-446D-BF06-3386C7EF2D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1442</Words>
  <Characters>9593</Characters>
  <Application>Microsoft Office Word</Application>
  <DocSecurity>4</DocSecurity>
  <Lines>147</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10996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2025-06-16T13:29:00Z</dcterms:created>
  <dc:creator>User</dc:creator>
  <lastModifiedBy>adlibuser</lastModifiedBy>
  <lastPrinted>2004-12-10T05:45:00Z</lastPrinted>
  <dcterms:modified xsi:type="dcterms:W3CDTF">2025-06-16T13:29:00Z</dcterms:modified>
  <revision>2</revision>
</coreProperties>
</file>