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629f90404c64007bcd2c0481a97475a"/>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TRANSPORTO VEIKLOS PAGRINDŲ ĮSTATYMO NR. I-1863 2 IR 11 STRAIPSNIŲ PAKEITIMO</w:t>
          </w:r>
        </w:p>
        <w:p>
          <w:pPr>
            <w:jc w:val="center"/>
            <w:rPr>
              <w:caps/>
            </w:rPr>
          </w:pPr>
          <w:r>
            <w:rPr>
              <w:b/>
              <w:caps/>
            </w:rPr>
            <w:t>ĮSTATYMAS</w:t>
          </w:r>
        </w:p>
        <w:p>
          <w:pPr>
            <w:jc w:val="center"/>
            <w:rPr>
              <w:b/>
              <w:caps/>
            </w:rPr>
          </w:pPr>
        </w:p>
        <w:p>
          <w:pPr>
            <w:jc w:val="center"/>
            <w:rPr>
              <w:szCs w:val="24"/>
            </w:rPr>
          </w:pPr>
          <w:r>
            <w:rPr>
              <w:szCs w:val="24"/>
              <w:lang w:val="en-US"/>
            </w:rPr>
            <w:t>2022</w:t>
          </w:r>
          <w:r>
            <w:rPr>
              <w:szCs w:val="24"/>
            </w:rPr>
            <w:t xml:space="preserve"> m. </w:t>
          </w:r>
          <w:r>
            <w:rPr>
              <w:szCs w:val="24"/>
              <w:lang w:val="en-US"/>
            </w:rPr>
            <w:t>birželio</w:t>
          </w:r>
          <w:r>
            <w:rPr>
              <w:szCs w:val="24"/>
            </w:rPr>
            <w:t xml:space="preserve"> </w:t>
          </w:r>
          <w:r>
            <w:rPr>
              <w:szCs w:val="24"/>
              <w:lang w:val="en-US"/>
            </w:rPr>
            <w:t>21</w:t>
          </w:r>
          <w:r>
            <w:rPr>
              <w:szCs w:val="24"/>
            </w:rPr>
            <w:t xml:space="preserve"> d. Nr. </w:t>
          </w:r>
          <w:r>
            <w:rPr>
              <w:szCs w:val="24"/>
              <w:lang w:val="en-US"/>
            </w:rPr>
            <w:t>XIV-1141</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7"/>
              <w:headerReference w:type="default" r:id="rId8"/>
              <w:footerReference w:type="even" r:id="rId9"/>
              <w:footerReference w:type="default" r:id="rId10"/>
              <w:headerReference w:type="first" r:id="rId11"/>
              <w:footerReference w:type="first" r:id="rId12"/>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26e0512616514278bd0e3342f0b9242a"/>
            <w:lock w:val="sdtLocked"/>
            <w:richText/>
          </w:sdtPr>
          <w:sdtContent>
            <w:p>
              <w:pPr>
                <w:spacing w:line="360" w:lineRule="auto"/>
                <w:ind w:firstLine="720"/>
                <w:jc w:val="both"/>
                <w:rPr>
                  <w:b/>
                  <w:bCs/>
                </w:rPr>
              </w:pPr>
              <w:sdt>
                <w:sdtPr>
                  <w:alias w:val="Numeris"/>
                  <w:tag w:val="nr_26e0512616514278bd0e3342f0b9242a"/>
                  <w:lock w:val="sdtLocked"/>
                  <w:richText/>
                </w:sdtPr>
                <w:sdtContent>
                  <w:r>
                    <w:rPr>
                      <w:b/>
                      <w:bCs/>
                    </w:rPr>
                    <w:t>1</w:t>
                  </w:r>
                </w:sdtContent>
              </w:sdt>
              <w:r>
                <w:rPr>
                  <w:b/>
                  <w:bCs/>
                </w:rPr>
                <w:t xml:space="preserve"> straipsnis. </w:t>
              </w:r>
              <w:sdt>
                <w:sdtPr>
                  <w:alias w:val="Pavadinimas"/>
                  <w:tag w:val="title_26e0512616514278bd0e3342f0b9242a"/>
                  <w:lock w:val="sdtLocked"/>
                  <w:richText/>
                </w:sdtPr>
                <w:sdtContent>
                  <w:r>
                    <w:rPr>
                      <w:b/>
                      <w:bCs/>
                    </w:rPr>
                    <w:t>2 straipsnio pakeitimas</w:t>
                  </w:r>
                </w:sdtContent>
              </w:sdt>
            </w:p>
            <w:sdt>
              <w:sdtPr>
                <w:alias w:val="1 str. 1 d."/>
                <w:tag w:val="part_cb22011eeb44463ba9281999067173d9"/>
                <w:lock w:val="sdtLocked"/>
                <w:richText/>
              </w:sdtPr>
              <w:sdtContent>
                <w:p>
                  <w:pPr>
                    <w:spacing w:line="360" w:lineRule="auto"/>
                    <w:ind w:firstLine="720"/>
                    <w:jc w:val="both"/>
                    <w:rPr>
                      <w:bCs/>
                    </w:rPr>
                  </w:pPr>
                  <w:sdt>
                    <w:sdtPr>
                      <w:alias w:val="Numeris"/>
                      <w:tag w:val="nr_cb22011eeb44463ba9281999067173d9"/>
                      <w:lock w:val="sdtLocked"/>
                      <w:richText/>
                    </w:sdtPr>
                    <w:sdtContent>
                      <w:r>
                        <w:t>1</w:t>
                      </w:r>
                    </w:sdtContent>
                  </w:sdt>
                  <w:r>
                    <w:t xml:space="preserve">. Papildyti 2 straipsnį </w:t>
                  </w:r>
                  <w:r>
                    <w:rPr>
                      <w:color w:val="000000"/>
                      <w:lang w:eastAsia="lt-LT"/>
                    </w:rPr>
                    <w:t>nauja 6 dalimi:</w:t>
                  </w:r>
                </w:p>
                <w:sdt>
                  <w:sdtPr>
                    <w:alias w:val="citata"/>
                    <w:tag w:val="part_52f9cd3174234de08c8f2ff2492c2380"/>
                    <w:lock w:val="sdtLocked"/>
                    <w:richText/>
                  </w:sdtPr>
                  <w:sdtContent>
                    <w:sdt>
                      <w:sdtPr>
                        <w:alias w:val="6 d."/>
                        <w:tag w:val="part_0e3dab65d3cb4707a87de2e7fd76579a"/>
                        <w:lock w:val="sdtLocked"/>
                        <w:richText/>
                      </w:sdtPr>
                      <w:sdtContent>
                        <w:p>
                          <w:pPr>
                            <w:spacing w:line="360" w:lineRule="auto"/>
                            <w:ind w:firstLine="720"/>
                            <w:jc w:val="both"/>
                            <w:rPr>
                              <w:color w:val="000000"/>
                              <w:lang w:eastAsia="lt-LT"/>
                            </w:rPr>
                          </w:pPr>
                          <w:r>
                            <w:rPr>
                              <w:color w:val="000000"/>
                              <w:lang w:eastAsia="lt-LT"/>
                            </w:rPr>
                            <w:t>„</w:t>
                          </w:r>
                          <w:sdt>
                            <w:sdtPr>
                              <w:alias w:val="Numeris"/>
                              <w:tag w:val="nr_0e3dab65d3cb4707a87de2e7fd76579a"/>
                              <w:lock w:val="sdtLocked"/>
                              <w:richText/>
                            </w:sdtPr>
                            <w:sdtContent>
                              <w:r>
                                <w:rPr>
                                  <w:color w:val="000000"/>
                                  <w:lang w:eastAsia="lt-LT"/>
                                </w:rPr>
                                <w:t>6</w:t>
                              </w:r>
                            </w:sdtContent>
                          </w:sdt>
                          <w:r>
                            <w:rPr>
                              <w:color w:val="000000"/>
                              <w:lang w:eastAsia="lt-LT"/>
                            </w:rPr>
                            <w:t xml:space="preserve">. </w:t>
                          </w:r>
                          <w:r>
                            <w:rPr>
                              <w:b/>
                              <w:bCs/>
                            </w:rPr>
                            <w:t>Riboto judumo asmuo</w:t>
                          </w:r>
                          <w:r>
                            <w:t xml:space="preserve"> – asmuo, turintis nuolatinį arba laikiną fizinį, psichikos, intelekto arba jutimo sutrikimą, dėl kurio jis gali tik ribotai judėti ir tai trukdo jam lygiavertiškai su kitais keleiviais naudotis transportu, arba asmuo, kurio judumą naudojantis transportu riboja amžius.</w:t>
                          </w:r>
                          <w:r>
                            <w:rPr>
                              <w:color w:val="000000"/>
                              <w:lang w:eastAsia="lt-LT"/>
                            </w:rPr>
                            <w:t>“</w:t>
                          </w:r>
                        </w:p>
                      </w:sdtContent>
                    </w:sdt>
                  </w:sdtContent>
                </w:sdt>
              </w:sdtContent>
            </w:sdt>
            <w:sdt>
              <w:sdtPr>
                <w:alias w:val="1 str. 2 d."/>
                <w:tag w:val="part_84a6cc46b935423686702ac26dbb7f54"/>
                <w:lock w:val="sdtLocked"/>
                <w:richText/>
              </w:sdtPr>
              <w:sdtContent>
                <w:p>
                  <w:pPr>
                    <w:spacing w:line="360" w:lineRule="auto"/>
                    <w:ind w:firstLine="720"/>
                    <w:jc w:val="both"/>
                    <w:rPr>
                      <w:color w:val="000000"/>
                      <w:lang w:eastAsia="lt-LT"/>
                    </w:rPr>
                  </w:pPr>
                  <w:sdt>
                    <w:sdtPr>
                      <w:alias w:val="Numeris"/>
                      <w:tag w:val="nr_84a6cc46b935423686702ac26dbb7f54"/>
                      <w:lock w:val="sdtLocked"/>
                      <w:richText/>
                    </w:sdtPr>
                    <w:sdtContent>
                      <w:r>
                        <w:rPr>
                          <w:color w:val="000000"/>
                          <w:lang w:eastAsia="lt-LT"/>
                        </w:rPr>
                        <w:t>2</w:t>
                      </w:r>
                    </w:sdtContent>
                  </w:sdt>
                  <w:r>
                    <w:rPr>
                      <w:color w:val="000000"/>
                      <w:lang w:eastAsia="lt-LT"/>
                    </w:rPr>
                    <w:t>. Buvusias 2 straipsnio 6–19 dalis laikyti atitinkamai 7–20 dalimis.</w:t>
                  </w:r>
                </w:p>
                <w:p>
                  <w:pPr>
                    <w:spacing w:line="360" w:lineRule="auto"/>
                    <w:ind w:firstLine="720"/>
                    <w:jc w:val="center"/>
                  </w:pPr>
                </w:p>
              </w:sdtContent>
            </w:sdt>
          </w:sdtContent>
        </w:sdt>
        <w:sdt>
          <w:sdtPr>
            <w:alias w:val="2 str."/>
            <w:tag w:val="part_6550b959fc1749809f711de053061d00"/>
            <w:lock w:val="sdtLocked"/>
            <w:richText/>
          </w:sdtPr>
          <w:sdtContent>
            <w:p>
              <w:pPr>
                <w:spacing w:line="360" w:lineRule="auto"/>
                <w:ind w:firstLine="720"/>
                <w:jc w:val="both"/>
                <w:rPr>
                  <w:b/>
                  <w:bCs/>
                </w:rPr>
              </w:pPr>
              <w:sdt>
                <w:sdtPr>
                  <w:alias w:val="Numeris"/>
                  <w:tag w:val="nr_6550b959fc1749809f711de053061d00"/>
                  <w:lock w:val="sdtLocked"/>
                  <w:richText/>
                </w:sdtPr>
                <w:sdtContent>
                  <w:r>
                    <w:rPr>
                      <w:b/>
                      <w:bCs/>
                    </w:rPr>
                    <w:t>2</w:t>
                  </w:r>
                </w:sdtContent>
              </w:sdt>
              <w:r>
                <w:rPr>
                  <w:b/>
                  <w:bCs/>
                </w:rPr>
                <w:t xml:space="preserve"> straipsnis. </w:t>
              </w:r>
              <w:sdt>
                <w:sdtPr>
                  <w:alias w:val="Pavadinimas"/>
                  <w:tag w:val="title_6550b959fc1749809f711de053061d00"/>
                  <w:lock w:val="sdtLocked"/>
                  <w:richText/>
                </w:sdtPr>
                <w:sdtContent>
                  <w:r>
                    <w:rPr>
                      <w:b/>
                      <w:bCs/>
                    </w:rPr>
                    <w:t>11 straipsnio pakeitimas</w:t>
                  </w:r>
                </w:sdtContent>
              </w:sdt>
            </w:p>
            <w:sdt>
              <w:sdtPr>
                <w:alias w:val="2 str. 1 d."/>
                <w:tag w:val="part_62972a7b96984ce89f0b737f25237763"/>
                <w:lock w:val="sdtLocked"/>
                <w:richText/>
              </w:sdtPr>
              <w:sdtContent>
                <w:p>
                  <w:pPr>
                    <w:spacing w:line="360" w:lineRule="auto"/>
                    <w:ind w:firstLine="720"/>
                    <w:jc w:val="both"/>
                  </w:pPr>
                  <w:sdt>
                    <w:sdtPr>
                      <w:alias w:val="Numeris"/>
                      <w:tag w:val="nr_62972a7b96984ce89f0b737f25237763"/>
                      <w:lock w:val="sdtLocked"/>
                      <w:richText/>
                    </w:sdtPr>
                    <w:sdtContent>
                      <w:r>
                        <w:t>1</w:t>
                      </w:r>
                    </w:sdtContent>
                  </w:sdt>
                  <w:r>
                    <w:t>. Pakeisti 11 straipsnio 2 dalį ir ją išdėstyti taip:</w:t>
                  </w:r>
                </w:p>
                <w:sdt>
                  <w:sdtPr>
                    <w:alias w:val="citata"/>
                    <w:tag w:val="part_031fd125311f4c5a8ec663af77008aab"/>
                    <w:lock w:val="sdtLocked"/>
                    <w:richText/>
                  </w:sdtPr>
                  <w:sdtContent>
                    <w:sdt>
                      <w:sdtPr>
                        <w:alias w:val="2 d."/>
                        <w:tag w:val="part_ba1895ca207c4951b58e6ae5c7f3f9d6"/>
                        <w:lock w:val="sdtLocked"/>
                        <w:richText/>
                      </w:sdtPr>
                      <w:sdtContent>
                        <w:p>
                          <w:pPr>
                            <w:spacing w:line="360" w:lineRule="auto"/>
                            <w:ind w:firstLine="720"/>
                            <w:jc w:val="both"/>
                          </w:pPr>
                          <w:r>
                            <w:t>„</w:t>
                          </w:r>
                          <w:sdt>
                            <w:sdtPr>
                              <w:alias w:val="Numeris"/>
                              <w:tag w:val="nr_ba1895ca207c4951b58e6ae5c7f3f9d6"/>
                              <w:lock w:val="sdtLocked"/>
                              <w:richText/>
                            </w:sdtPr>
                            <w:sdtContent>
                              <w:r>
                                <w:t>2</w:t>
                              </w:r>
                            </w:sdtContent>
                          </w:sdt>
                          <w:r>
                            <w:t>. Viešojo transporto objektai, skirti keleiviams aptarnauti, turi būti nuosekliai pritaikomi patogiai ir saugiai jais naudotis neįgaliesiems ir riboto judumo asmenims.“</w:t>
                          </w:r>
                        </w:p>
                      </w:sdtContent>
                    </w:sdt>
                  </w:sdtContent>
                </w:sdt>
              </w:sdtContent>
            </w:sdt>
            <w:sdt>
              <w:sdtPr>
                <w:alias w:val="2 str. 2 d."/>
                <w:tag w:val="part_128d88cc7e55462d97e3294eaab8b4a2"/>
                <w:lock w:val="sdtLocked"/>
                <w:richText/>
              </w:sdtPr>
              <w:sdtContent>
                <w:p>
                  <w:pPr>
                    <w:spacing w:line="360" w:lineRule="auto"/>
                    <w:ind w:firstLine="720"/>
                    <w:jc w:val="both"/>
                  </w:pPr>
                  <w:sdt>
                    <w:sdtPr>
                      <w:alias w:val="Numeris"/>
                      <w:tag w:val="nr_128d88cc7e55462d97e3294eaab8b4a2"/>
                      <w:lock w:val="sdtLocked"/>
                      <w:richText/>
                    </w:sdtPr>
                    <w:sdtContent>
                      <w:r>
                        <w:t>2</w:t>
                      </w:r>
                    </w:sdtContent>
                  </w:sdt>
                  <w:r>
                    <w:t>. Papildyti 11 straipsnį 2</w:t>
                  </w:r>
                  <w:r>
                    <w:rPr>
                      <w:vertAlign w:val="superscript"/>
                    </w:rPr>
                    <w:t>1</w:t>
                  </w:r>
                  <w:r>
                    <w:t xml:space="preserve"> dalimi: </w:t>
                  </w:r>
                </w:p>
                <w:sdt>
                  <w:sdtPr>
                    <w:alias w:val="citata"/>
                    <w:tag w:val="part_c159c7880b0f4de38775aa8a4f6032fc"/>
                    <w:lock w:val="sdtLocked"/>
                    <w:richText/>
                  </w:sdtPr>
                  <w:sdtContent>
                    <w:sdt>
                      <w:sdtPr>
                        <w:alias w:val="2-1 d."/>
                        <w:tag w:val="part_896900fb34104c72b93ace7e695b9abf"/>
                        <w:lock w:val="sdtLocked"/>
                        <w:richText/>
                      </w:sdtPr>
                      <w:sdtContent>
                        <w:p>
                          <w:pPr>
                            <w:spacing w:line="360" w:lineRule="auto"/>
                            <w:ind w:firstLine="720"/>
                            <w:jc w:val="both"/>
                          </w:pPr>
                          <w:r>
                            <w:t>„</w:t>
                          </w:r>
                          <w:sdt>
                            <w:sdtPr>
                              <w:alias w:val="Numeris"/>
                              <w:tag w:val="nr_896900fb34104c72b93ace7e695b9abf"/>
                              <w:lock w:val="sdtLocked"/>
                              <w:richText/>
                            </w:sdtPr>
                            <w:sdtContent>
                              <w:r>
                                <w:t>2</w:t>
                              </w:r>
                              <w:r>
                                <w:rPr>
                                  <w:vertAlign w:val="superscript"/>
                                </w:rPr>
                                <w:t>1</w:t>
                              </w:r>
                            </w:sdtContent>
                          </w:sdt>
                          <w:r>
                            <w:t>. Viešojo transporto priemonės, vežančios keleivius automobilių ir vidaus vandenų keliais, turi būti pritaikytos neįgaliesiems ir riboto judumo asmenims – jose turi būti įrengtos šių asmenų informavimo, mobilumo užtikrinimo ir saugaus vykimo viešuoju transportu priemonės pagal susisiekimo ministro tvirtinamus viešojo transporto priemonių pritaikymo neįgaliesiems ir riboto judumo asmenims reikalavimus. Ši nuostata netaikoma tarptautiniam susisiekimui naudojamoms viešojo transporto priemonėms.“</w:t>
                          </w:r>
                        </w:p>
                      </w:sdtContent>
                    </w:sdt>
                  </w:sdtContent>
                </w:sdt>
              </w:sdtContent>
            </w:sdt>
            <w:sdt>
              <w:sdtPr>
                <w:alias w:val="2 str. 3 d."/>
                <w:tag w:val="part_7be0c907a3d542d0b4f82e8afb33c61b"/>
                <w:lock w:val="sdtLocked"/>
                <w:richText/>
              </w:sdtPr>
              <w:sdtContent>
                <w:p>
                  <w:pPr>
                    <w:spacing w:line="360" w:lineRule="auto"/>
                    <w:ind w:firstLine="720"/>
                    <w:jc w:val="both"/>
                  </w:pPr>
                  <w:sdt>
                    <w:sdtPr>
                      <w:alias w:val="Numeris"/>
                      <w:tag w:val="nr_7be0c907a3d542d0b4f82e8afb33c61b"/>
                      <w:lock w:val="sdtLocked"/>
                      <w:richText/>
                    </w:sdtPr>
                    <w:sdtContent>
                      <w:r>
                        <w:t>3</w:t>
                      </w:r>
                    </w:sdtContent>
                  </w:sdt>
                  <w:r>
                    <w:t>.</w:t>
                  </w:r>
                  <w:r>
                    <w:rPr>
                      <w:b/>
                    </w:rPr>
                    <w:t xml:space="preserve"> </w:t>
                  </w:r>
                  <w:r>
                    <w:t>Papildyti 11 straipsnį 2</w:t>
                  </w:r>
                  <w:r>
                    <w:rPr>
                      <w:vertAlign w:val="superscript"/>
                    </w:rPr>
                    <w:t>2</w:t>
                  </w:r>
                  <w:r>
                    <w:t xml:space="preserve"> dalimi: </w:t>
                  </w:r>
                </w:p>
                <w:sdt>
                  <w:sdtPr>
                    <w:alias w:val="citata"/>
                    <w:tag w:val="part_7cc2c00f1bbc4dc18193fc89f3d5c2db"/>
                    <w:lock w:val="sdtLocked"/>
                    <w:richText/>
                  </w:sdtPr>
                  <w:sdtContent>
                    <w:sdt>
                      <w:sdtPr>
                        <w:alias w:val="2-2 d."/>
                        <w:tag w:val="part_888387e014f844ae9d0821878c389f59"/>
                        <w:lock w:val="sdtLocked"/>
                        <w:richText/>
                      </w:sdtPr>
                      <w:sdtContent>
                        <w:p>
                          <w:pPr>
                            <w:spacing w:line="360" w:lineRule="auto"/>
                            <w:ind w:firstLine="720"/>
                            <w:jc w:val="both"/>
                          </w:pPr>
                          <w:r>
                            <w:t>„</w:t>
                          </w:r>
                          <w:sdt>
                            <w:sdtPr>
                              <w:alias w:val="Numeris"/>
                              <w:tag w:val="nr_888387e014f844ae9d0821878c389f59"/>
                              <w:lock w:val="sdtLocked"/>
                              <w:richText/>
                            </w:sdtPr>
                            <w:sdtContent>
                              <w:r>
                                <w:t>2</w:t>
                              </w:r>
                              <w:r>
                                <w:rPr>
                                  <w:vertAlign w:val="superscript"/>
                                </w:rPr>
                                <w:t>2</w:t>
                              </w:r>
                            </w:sdtContent>
                          </w:sdt>
                          <w:r>
                            <w:t>. Keleiviams geležinkeliais vežti naudojami geležinkelių riedmenys, kaip jie apibrėžiami Lietuvos Respublikos geležinkelių transporto eismo saugos įstatyme, turi būti pritaikyti neįgaliesiems ir riboto judumo asmenims vadovaujantis 2014 m. lapkričio 18 d. Komisijos reglamente (ES) Nr. 1300/2014 dėl Sąjungos geležinkelių sistemos prieinamumo neįgaliesiems ir riboto judumo asmenims techninių sąveikos specifikacijų su paskutiniais pakeitimais, padarytais 2019 m. gegužės 16 d. Komisijos įgyvendinimo reglamentu (ES) 2019/772, nustatytomis sąlygomis ir tvarka. Reikalavimas pritaikyti geležinkelių riedmenis neįgaliesiems ir riboto judumo asmenims vežti netaikomas siaurųjų geležinkelių (600 mm ir 750 mm pločio vėžių) tinkluose ir tarptautiniam susisiekimui geležinkeliais su trečiosiomis šalimis naudojamoms transporto priemonėms.“</w:t>
                          </w:r>
                        </w:p>
                        <w:p>
                          <w:pPr>
                            <w:spacing w:line="360" w:lineRule="auto"/>
                            <w:ind w:firstLine="720"/>
                            <w:jc w:val="both"/>
                          </w:pPr>
                        </w:p>
                      </w:sdtContent>
                    </w:sdt>
                  </w:sdtContent>
                </w:sdt>
              </w:sdtContent>
            </w:sdt>
          </w:sdtContent>
        </w:sdt>
        <w:sdt>
          <w:sdtPr>
            <w:alias w:val="3 str."/>
            <w:tag w:val="part_9bde288d28204851b14c94323f568862"/>
            <w:lock w:val="sdtLocked"/>
            <w:richText/>
          </w:sdtPr>
          <w:sdtContent>
            <w:p>
              <w:pPr>
                <w:spacing w:line="360" w:lineRule="auto"/>
                <w:ind w:firstLine="720"/>
                <w:jc w:val="both"/>
                <w:rPr>
                  <w:b/>
                  <w:bCs/>
                </w:rPr>
              </w:pPr>
              <w:sdt>
                <w:sdtPr>
                  <w:alias w:val="Numeris"/>
                  <w:tag w:val="nr_9bde288d28204851b14c94323f568862"/>
                  <w:lock w:val="sdtLocked"/>
                  <w:richText/>
                </w:sdtPr>
                <w:sdtContent>
                  <w:r>
                    <w:rPr>
                      <w:b/>
                      <w:bCs/>
                    </w:rPr>
                    <w:t>3</w:t>
                  </w:r>
                </w:sdtContent>
              </w:sdt>
              <w:r>
                <w:rPr>
                  <w:b/>
                  <w:bCs/>
                </w:rPr>
                <w:t xml:space="preserve"> straipsnis. </w:t>
              </w:r>
              <w:sdt>
                <w:sdtPr>
                  <w:alias w:val="Pavadinimas"/>
                  <w:tag w:val="title_9bde288d28204851b14c94323f568862"/>
                  <w:lock w:val="sdtLocked"/>
                  <w:richText/>
                </w:sdtPr>
                <w:sdtContent>
                  <w:r>
                    <w:rPr>
                      <w:b/>
                      <w:bCs/>
                    </w:rPr>
                    <w:t>Įstatymo įsigaliojimas, įgyvendinimas ir taikymas</w:t>
                  </w:r>
                </w:sdtContent>
              </w:sdt>
            </w:p>
            <w:sdt>
              <w:sdtPr>
                <w:alias w:val="3 str. 1 d."/>
                <w:tag w:val="part_86913c45dd37492cb94ddfba5518555c"/>
                <w:lock w:val="sdtLocked"/>
                <w:richText/>
              </w:sdtPr>
              <w:sdtContent>
                <w:p>
                  <w:pPr>
                    <w:shd w:val="clear" w:color="auto" w:fill="FFFFFF"/>
                    <w:tabs>
                      <w:tab w:val="left" w:pos="993"/>
                      <w:tab w:val="left" w:pos="2835"/>
                    </w:tabs>
                    <w:spacing w:line="360" w:lineRule="auto"/>
                    <w:ind w:firstLine="720"/>
                    <w:jc w:val="both"/>
                    <w:rPr>
                      <w:b/>
                    </w:rPr>
                  </w:pPr>
                  <w:sdt>
                    <w:sdtPr>
                      <w:alias w:val="Numeris"/>
                      <w:tag w:val="nr_86913c45dd37492cb94ddfba5518555c"/>
                      <w:lock w:val="sdtLocked"/>
                      <w:richText/>
                    </w:sdtPr>
                    <w:sdtContent>
                      <w:r>
                        <w:t>1</w:t>
                      </w:r>
                    </w:sdtContent>
                  </w:sdt>
                  <w:r>
                    <w:t xml:space="preserve">. </w:t>
                  </w:r>
                  <w:r>
                    <w:rPr>
                      <w:color w:val="000000"/>
                    </w:rPr>
                    <w:t>Šis įstatymas, išskyrus šio straipsnio 2 dalį, įsigalioja 2022 m. lapkričio 1 d.</w:t>
                  </w:r>
                </w:p>
              </w:sdtContent>
            </w:sdt>
            <w:sdt>
              <w:sdtPr>
                <w:alias w:val="3 str. 2 d."/>
                <w:tag w:val="part_ab8db35857b7453daa277e13e1240291"/>
                <w:lock w:val="sdtLocked"/>
                <w:richText/>
              </w:sdtPr>
              <w:sdtContent>
                <w:p>
                  <w:pPr>
                    <w:shd w:val="clear" w:color="auto" w:fill="FFFFFF"/>
                    <w:tabs>
                      <w:tab w:val="left" w:pos="993"/>
                    </w:tabs>
                    <w:spacing w:line="360" w:lineRule="auto"/>
                    <w:ind w:firstLine="720"/>
                    <w:jc w:val="both"/>
                  </w:pPr>
                  <w:sdt>
                    <w:sdtPr>
                      <w:alias w:val="Numeris"/>
                      <w:tag w:val="nr_ab8db35857b7453daa277e13e1240291"/>
                      <w:lock w:val="sdtLocked"/>
                      <w:richText/>
                    </w:sdtPr>
                    <w:sdtContent>
                      <w:r>
                        <w:t>2</w:t>
                      </w:r>
                    </w:sdtContent>
                  </w:sdt>
                  <w:r>
                    <w:t xml:space="preserve">. </w:t>
                  </w:r>
                  <w:r>
                    <w:rPr>
                      <w:color w:val="000000"/>
                    </w:rPr>
                    <w:t>Susisiekimo ministras iki 2022 m. liepos 31 d. priima šio įstatymo įgyvendinamąjį teisės aktą.</w:t>
                  </w:r>
                </w:p>
              </w:sdtContent>
            </w:sdt>
            <w:sdt>
              <w:sdtPr>
                <w:alias w:val="3 str. 3 d."/>
                <w:tag w:val="part_b8fff625f5cf40658751b67b7b7f5ac1"/>
                <w:lock w:val="sdtLocked"/>
                <w:richText/>
              </w:sdtPr>
              <w:sdtContent>
                <w:p>
                  <w:pPr>
                    <w:shd w:val="clear" w:color="auto" w:fill="FFFFFF"/>
                    <w:tabs>
                      <w:tab w:val="left" w:pos="993"/>
                    </w:tabs>
                    <w:spacing w:line="360" w:lineRule="auto"/>
                    <w:ind w:firstLine="720"/>
                    <w:jc w:val="both"/>
                    <w:rPr>
                      <w:b/>
                    </w:rPr>
                  </w:pPr>
                  <w:sdt>
                    <w:sdtPr>
                      <w:alias w:val="Numeris"/>
                      <w:tag w:val="nr_b8fff625f5cf40658751b67b7b7f5ac1"/>
                      <w:lock w:val="sdtLocked"/>
                      <w:richText/>
                    </w:sdtPr>
                    <w:sdtContent>
                      <w:r>
                        <w:t>3</w:t>
                      </w:r>
                    </w:sdtContent>
                  </w:sdt>
                  <w:r>
                    <w:t xml:space="preserve">. </w:t>
                  </w:r>
                  <w:r>
                    <w:rPr>
                      <w:color w:val="000000"/>
                    </w:rPr>
                    <w:t>Šio įstatymo 2 straipsnio 2 dalies nuostatos taikomos įsigaliojus šiam įstatymui pirmą kartą Lietuvos Respublikoje registruojamoms viešojo transporto priemonėms, išskyrus atvejus, kai Lietuvos Respublikos teisės aktais reglamentuojamos transporto priemonių pirkimo procedūros buvo pradėtos iki įsigaliojant šiam įstatymui.</w:t>
                  </w:r>
                </w:p>
                <w:p>
                  <w:pPr>
                    <w:spacing w:line="360" w:lineRule="auto"/>
                    <w:ind w:firstLine="720"/>
                    <w:jc w:val="both"/>
                    <w:rPr>
                      <w:i/>
                      <w:szCs w:val="24"/>
                    </w:rPr>
                  </w:pPr>
                </w:p>
              </w:sdtContent>
            </w:sdt>
          </w:sdtContent>
        </w:sdt>
        <w:sdt>
          <w:sdtPr>
            <w:alias w:val="signatura"/>
            <w:tag w:val="part_2f38657a9c674bc8a0eef4cf08b88143"/>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3B1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FBB11813-39F9-4886-B25A-2DFED7C60D0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image" Target="media/image1.png"/>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2f4b46b31a6b42c0914448cdafb425e1" PartId="c629f90404c64007bcd2c0481a97475a">
    <Part Type="straipsnis" Nr="1" Abbr="1 str." Title="2 straipsnio pakeitimas" DocPartId="007ed056cd514bcb9a8eecc88b5235e5" PartId="26e0512616514278bd0e3342f0b9242a">
      <Part Type="strDalis" Nr="1" Abbr="1 str. 1 d." DocPartId="2cbd3089a147488c8869a2d0be948e34" PartId="cb22011eeb44463ba9281999067173d9">
        <Part Type="citata" DocPartId="a6dfba4464624e788f2a9b7fa35f31b4" PartId="52f9cd3174234de08c8f2ff2492c2380">
          <Part Type="strDalis" Nr="6" Abbr="6 d." DocPartId="8548c054194641dab4c5b5534a7b77b7" PartId="0e3dab65d3cb4707a87de2e7fd76579a"/>
        </Part>
      </Part>
      <Part Type="strDalis" Nr="2" Abbr="1 str. 2 d." DocPartId="26d6b56ad8444bb8bcbc2a724a2f993f" PartId="84a6cc46b935423686702ac26dbb7f54"/>
    </Part>
    <Part Type="straipsnis" Nr="2" Abbr="2 str." Title="11 straipsnio pakeitimas" DocPartId="08db14258a8b45508f58937d39a85f6c" PartId="6550b959fc1749809f711de053061d00">
      <Part Type="strDalis" Nr="1" Abbr="2 str. 1 d." DocPartId="909a96da00dc4521b244037fb297699d" PartId="62972a7b96984ce89f0b737f25237763">
        <Part Type="citata" DocPartId="942b3640238b46fd866b54f13d8f4bd1" PartId="031fd125311f4c5a8ec663af77008aab">
          <Part Type="strDalis" Nr="2" Abbr="2 d." DocPartId="918f1d82f0ba465582466a25e6076b8e" PartId="ba1895ca207c4951b58e6ae5c7f3f9d6"/>
        </Part>
      </Part>
      <Part Type="strDalis" Nr="2" Abbr="2 str. 2 d." DocPartId="135a9527fd9748d8885b3231114e41aa" PartId="128d88cc7e55462d97e3294eaab8b4a2">
        <Part Type="citata" DocPartId="55dfbf79aa0d44f7aa767bf3693a68be" PartId="c159c7880b0f4de38775aa8a4f6032fc">
          <Part Type="strDalis" Nr="2-1" Abbr="2-1 d." DocPartId="60f5b8506ac74b2a874c8956b71e0878" PartId="896900fb34104c72b93ace7e695b9abf"/>
        </Part>
      </Part>
      <Part Type="strDalis" Nr="3" Abbr="2 str. 3 d." DocPartId="a338290f1cdc47d1878d3d5ca0ddae79" PartId="7be0c907a3d542d0b4f82e8afb33c61b">
        <Part Type="citata" DocPartId="c0a630786c0f441793012a3ebd4f028c" PartId="7cc2c00f1bbc4dc18193fc89f3d5c2db">
          <Part Type="strDalis" Nr="2-2" Abbr="2-2 d." DocPartId="fe868423101545e7ba0f16485a0f5877" PartId="888387e014f844ae9d0821878c389f59"/>
        </Part>
      </Part>
    </Part>
    <Part Type="straipsnis" Nr="3" Abbr="3 str." Title="Įstatymo įsigaliojimas, įgyvendinimas ir taikymas" DocPartId="b4bada1f8a5e4ec1a175c1676fb3ae2e" PartId="9bde288d28204851b14c94323f568862">
      <Part Type="strDalis" Nr="1" Abbr="3 str. 1 d." DocPartId="1a7a0171fbca471298e63db8536d3baa" PartId="86913c45dd37492cb94ddfba5518555c"/>
      <Part Type="strDalis" Nr="2" Abbr="3 str. 2 d." DocPartId="ba8ddea2a19d48438d9783fe89c9832b" PartId="ab8db35857b7453daa277e13e1240291"/>
      <Part Type="strDalis" Nr="3" Abbr="3 str. 3 d." DocPartId="23dfae0a61224793b9eeeb9061adb5d0" PartId="b8fff625f5cf40658751b67b7b7f5ac1"/>
    </Part>
    <Part Type="signatura" DocPartId="3c5e407457b54f0d8fabd81f7c72be15" PartId="2f38657a9c674bc8a0eef4cf08b88143"/>
  </Part>
</Parts>
</file>

<file path=customXml/itemProps1.xml><?xml version="1.0" encoding="utf-8"?>
<ds:datastoreItem xmlns:ds="http://schemas.openxmlformats.org/officeDocument/2006/customXml" ds:itemID="{A00C1C50-7631-4104-A365-3189E34004C7}">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376</Words>
  <Characters>2581</Characters>
  <Application>Microsoft Office Word</Application>
  <DocSecurity>4</DocSecurity>
  <Lines>57</Lines>
  <Paragraphs>25</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2932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2022-06-28T08:34:00Z</dcterms:created>
  <dc:creator>MOZERĖ Dainora</dc:creator>
  <lastModifiedBy>adlibuser</lastModifiedBy>
  <lastPrinted>2022-06-21T08:59:00Z</lastPrinted>
  <dcterms:modified xsi:type="dcterms:W3CDTF">2022-06-28T08:34:00Z</dcterms:modified>
  <revision>2</revision>
</coreProperties>
</file>